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F8D2" w14:textId="119B32DE" w:rsidR="0061376B" w:rsidRPr="00BA2EAD" w:rsidRDefault="0037035D" w:rsidP="00732E60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 xml:space="preserve">Instruções aos requerentes </w:t>
      </w:r>
      <w:r w:rsidR="00DA4A0C">
        <w:rPr>
          <w:sz w:val="36"/>
        </w:rPr>
        <w:t>de p</w:t>
      </w:r>
      <w:r w:rsidR="00704E15" w:rsidRPr="00BA2EAD">
        <w:rPr>
          <w:sz w:val="36"/>
        </w:rPr>
        <w:t xml:space="preserve">edido de </w:t>
      </w:r>
      <w:r w:rsidR="00DA4A0C">
        <w:rPr>
          <w:sz w:val="36"/>
        </w:rPr>
        <w:t>AIP</w:t>
      </w:r>
    </w:p>
    <w:p w14:paraId="0C56B269" w14:textId="39C42ADC" w:rsidR="006470B3" w:rsidRDefault="006470B3" w:rsidP="006470B3">
      <w:pPr>
        <w:rPr>
          <w:lang w:eastAsia="pt-PT"/>
        </w:rPr>
      </w:pPr>
    </w:p>
    <w:p w14:paraId="59ACD39E" w14:textId="7938BAE3" w:rsidR="0037035D" w:rsidRDefault="00C5299E" w:rsidP="008D4783">
      <w:pPr>
        <w:spacing w:after="120" w:line="360" w:lineRule="auto"/>
        <w:jc w:val="both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 xml:space="preserve">A autorização de importação paralela (AIP) está prevista nos artigos 80.º e seguintes do </w:t>
      </w:r>
      <w:hyperlink r:id="rId8" w:history="1">
        <w:r w:rsidRPr="00C5299E">
          <w:rPr>
            <w:rStyle w:val="Hiperligao"/>
            <w:sz w:val="20"/>
            <w:szCs w:val="20"/>
            <w:lang w:eastAsia="pt-PT"/>
          </w:rPr>
          <w:t>Estatuto do Medicamento</w:t>
        </w:r>
      </w:hyperlink>
      <w:r>
        <w:rPr>
          <w:sz w:val="20"/>
          <w:szCs w:val="20"/>
          <w:lang w:eastAsia="pt-PT"/>
        </w:rPr>
        <w:t>.</w:t>
      </w:r>
    </w:p>
    <w:p w14:paraId="02880D19" w14:textId="77777777" w:rsidR="00EC0330" w:rsidRDefault="00EC0330" w:rsidP="008D4783">
      <w:pPr>
        <w:spacing w:after="120" w:line="360" w:lineRule="auto"/>
        <w:jc w:val="both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A AIP é concedida a medicamentos que:</w:t>
      </w:r>
    </w:p>
    <w:p w14:paraId="7C3DE280" w14:textId="27B6901F" w:rsidR="00C5299E" w:rsidRDefault="00EC0330" w:rsidP="008D4783">
      <w:pPr>
        <w:pStyle w:val="PargrafodaLista"/>
        <w:numPr>
          <w:ilvl w:val="0"/>
          <w:numId w:val="20"/>
        </w:numPr>
        <w:spacing w:after="120"/>
        <w:contextualSpacing w:val="0"/>
        <w:jc w:val="both"/>
        <w:rPr>
          <w:sz w:val="20"/>
          <w:szCs w:val="20"/>
        </w:rPr>
      </w:pPr>
      <w:r w:rsidRPr="00EC0330">
        <w:rPr>
          <w:sz w:val="20"/>
          <w:szCs w:val="20"/>
        </w:rPr>
        <w:t xml:space="preserve">disponham de </w:t>
      </w:r>
      <w:r>
        <w:rPr>
          <w:sz w:val="20"/>
          <w:szCs w:val="20"/>
        </w:rPr>
        <w:t>autorização de introdução no mercado e estejam comercializados num Estado membro da União Europeia</w:t>
      </w:r>
      <w:r w:rsidRPr="004D08FB">
        <w:rPr>
          <w:vertAlign w:val="superscript"/>
        </w:rPr>
        <w:footnoteReference w:id="1"/>
      </w:r>
      <w:r w:rsidR="001E2584" w:rsidRPr="004D08FB">
        <w:rPr>
          <w:sz w:val="20"/>
          <w:szCs w:val="20"/>
          <w:vertAlign w:val="superscript"/>
        </w:rPr>
        <w:t xml:space="preserve"> </w:t>
      </w:r>
      <w:r w:rsidR="001E2584">
        <w:rPr>
          <w:sz w:val="20"/>
          <w:szCs w:val="20"/>
        </w:rPr>
        <w:t>(medicamento do país de origem)</w:t>
      </w:r>
      <w:r>
        <w:rPr>
          <w:sz w:val="20"/>
          <w:szCs w:val="20"/>
        </w:rPr>
        <w:t xml:space="preserve">; </w:t>
      </w:r>
    </w:p>
    <w:p w14:paraId="5408475C" w14:textId="38D02EE8" w:rsidR="0037035D" w:rsidRDefault="00EC0330" w:rsidP="008D4783">
      <w:pPr>
        <w:pStyle w:val="PargrafodaLista"/>
        <w:numPr>
          <w:ilvl w:val="0"/>
          <w:numId w:val="20"/>
        </w:numPr>
        <w:spacing w:after="120"/>
        <w:contextualSpacing w:val="0"/>
        <w:jc w:val="both"/>
        <w:rPr>
          <w:sz w:val="20"/>
          <w:szCs w:val="20"/>
        </w:rPr>
      </w:pPr>
      <w:r w:rsidRPr="00EC0330">
        <w:rPr>
          <w:sz w:val="20"/>
          <w:szCs w:val="20"/>
        </w:rPr>
        <w:t>tenham a mesma composição quantitativa e qualitativa em substâncias ativas, a mesma forma farmacêutica e as mesmas indicações</w:t>
      </w:r>
      <w:r>
        <w:rPr>
          <w:sz w:val="20"/>
          <w:szCs w:val="20"/>
        </w:rPr>
        <w:t xml:space="preserve"> terapêuticas</w:t>
      </w:r>
      <w:r w:rsidRPr="00EC0330">
        <w:rPr>
          <w:sz w:val="20"/>
          <w:szCs w:val="20"/>
        </w:rPr>
        <w:t xml:space="preserve"> que um medicamento com autorização de introdução no mercado válida em Portugal</w:t>
      </w:r>
      <w:r w:rsidR="001E2584">
        <w:rPr>
          <w:sz w:val="20"/>
          <w:szCs w:val="20"/>
        </w:rPr>
        <w:t xml:space="preserve"> (medicamento considerado)</w:t>
      </w:r>
      <w:r>
        <w:rPr>
          <w:sz w:val="20"/>
          <w:szCs w:val="20"/>
        </w:rPr>
        <w:t>.</w:t>
      </w:r>
    </w:p>
    <w:p w14:paraId="5F14755B" w14:textId="77777777" w:rsidR="00993FAC" w:rsidRDefault="00993FAC" w:rsidP="00E91F34">
      <w:pPr>
        <w:spacing w:after="120"/>
        <w:jc w:val="both"/>
        <w:rPr>
          <w:sz w:val="20"/>
          <w:szCs w:val="20"/>
        </w:rPr>
      </w:pPr>
    </w:p>
    <w:p w14:paraId="7AA88804" w14:textId="64741DC8" w:rsidR="00993FAC" w:rsidRDefault="00993FAC" w:rsidP="008D4783">
      <w:pPr>
        <w:pStyle w:val="Ttulo2"/>
        <w:spacing w:after="120"/>
      </w:pPr>
      <w:r>
        <w:t>Pedido de AIP</w:t>
      </w:r>
    </w:p>
    <w:p w14:paraId="1F8AE970" w14:textId="5CF268FD" w:rsidR="001E2584" w:rsidRPr="001E2584" w:rsidRDefault="001E2584" w:rsidP="008D4783">
      <w:pPr>
        <w:spacing w:after="120" w:line="360" w:lineRule="auto"/>
        <w:jc w:val="both"/>
        <w:rPr>
          <w:sz w:val="20"/>
          <w:szCs w:val="20"/>
        </w:rPr>
      </w:pPr>
      <w:r w:rsidRPr="001E2584">
        <w:rPr>
          <w:sz w:val="20"/>
          <w:szCs w:val="20"/>
        </w:rPr>
        <w:t xml:space="preserve">Os pedidos devem ser dirigidos ao Infarmed através do e-mail </w:t>
      </w:r>
      <w:hyperlink r:id="rId9" w:history="1">
        <w:r w:rsidRPr="001E2584">
          <w:rPr>
            <w:rStyle w:val="Hiperligao"/>
            <w:sz w:val="20"/>
            <w:szCs w:val="20"/>
            <w:lang w:eastAsia="pt-PT"/>
          </w:rPr>
          <w:t>importacoes.paralelas@infarmed.pt</w:t>
        </w:r>
      </w:hyperlink>
      <w:r w:rsidRPr="001E2584">
        <w:rPr>
          <w:sz w:val="20"/>
          <w:szCs w:val="20"/>
        </w:rPr>
        <w:t xml:space="preserve"> anexando o </w:t>
      </w:r>
      <w:hyperlink r:id="rId10" w:history="1">
        <w:r w:rsidR="008D4783" w:rsidRPr="000B7457">
          <w:rPr>
            <w:rStyle w:val="Hiperligao"/>
            <w:sz w:val="20"/>
            <w:szCs w:val="20"/>
          </w:rPr>
          <w:t>req</w:t>
        </w:r>
        <w:r w:rsidR="008D4783" w:rsidRPr="000B7457">
          <w:rPr>
            <w:rStyle w:val="Hiperligao"/>
            <w:sz w:val="20"/>
            <w:szCs w:val="20"/>
          </w:rPr>
          <w:t>u</w:t>
        </w:r>
        <w:r w:rsidR="008D4783" w:rsidRPr="000B7457">
          <w:rPr>
            <w:rStyle w:val="Hiperligao"/>
            <w:sz w:val="20"/>
            <w:szCs w:val="20"/>
          </w:rPr>
          <w:t>erimento</w:t>
        </w:r>
        <w:r w:rsidRPr="000B7457">
          <w:rPr>
            <w:rStyle w:val="Hiperligao"/>
            <w:sz w:val="20"/>
            <w:szCs w:val="20"/>
          </w:rPr>
          <w:t xml:space="preserve"> d</w:t>
        </w:r>
        <w:r w:rsidR="008D4783" w:rsidRPr="000B7457">
          <w:rPr>
            <w:rStyle w:val="Hiperligao"/>
            <w:sz w:val="20"/>
            <w:szCs w:val="20"/>
          </w:rPr>
          <w:t>e</w:t>
        </w:r>
        <w:r w:rsidRPr="000B7457">
          <w:rPr>
            <w:rStyle w:val="Hiperligao"/>
            <w:sz w:val="20"/>
            <w:szCs w:val="20"/>
          </w:rPr>
          <w:t xml:space="preserve"> pedido de AIP</w:t>
        </w:r>
      </w:hyperlink>
      <w:r w:rsidRPr="001E2584">
        <w:rPr>
          <w:sz w:val="20"/>
          <w:szCs w:val="20"/>
        </w:rPr>
        <w:t>, bem como os documentos elencados</w:t>
      </w:r>
      <w:r>
        <w:rPr>
          <w:sz w:val="20"/>
          <w:szCs w:val="20"/>
        </w:rPr>
        <w:t xml:space="preserve"> no mesmo</w:t>
      </w:r>
      <w:r w:rsidRPr="001E2584">
        <w:rPr>
          <w:sz w:val="20"/>
          <w:szCs w:val="20"/>
        </w:rPr>
        <w:t>.</w:t>
      </w:r>
    </w:p>
    <w:p w14:paraId="1BD4D6D6" w14:textId="41E1C21F" w:rsidR="008104CB" w:rsidRDefault="001E2584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Relativamente ao </w:t>
      </w:r>
      <w:r w:rsidR="008D4783">
        <w:rPr>
          <w:sz w:val="20"/>
          <w:szCs w:val="20"/>
        </w:rPr>
        <w:t>requerimento</w:t>
      </w:r>
      <w:r>
        <w:rPr>
          <w:sz w:val="20"/>
          <w:szCs w:val="20"/>
        </w:rPr>
        <w:t>, destacam-se os seguintes aspetos:</w:t>
      </w:r>
    </w:p>
    <w:p w14:paraId="257AA4C3" w14:textId="1A5E40D1" w:rsidR="001E2584" w:rsidRPr="006537F5" w:rsidRDefault="006537F5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E2584" w:rsidRPr="006537F5">
        <w:rPr>
          <w:sz w:val="20"/>
          <w:szCs w:val="20"/>
        </w:rPr>
        <w:t xml:space="preserve"> </w:t>
      </w:r>
      <w:r w:rsidR="001E2584" w:rsidRPr="008D4783">
        <w:rPr>
          <w:b/>
          <w:bCs/>
          <w:sz w:val="20"/>
          <w:szCs w:val="20"/>
        </w:rPr>
        <w:t xml:space="preserve">nome </w:t>
      </w:r>
      <w:r w:rsidR="001E2584" w:rsidRPr="008D4783">
        <w:rPr>
          <w:sz w:val="20"/>
          <w:szCs w:val="20"/>
        </w:rPr>
        <w:t xml:space="preserve">proposto </w:t>
      </w:r>
      <w:r w:rsidRPr="008D4783">
        <w:rPr>
          <w:sz w:val="20"/>
          <w:szCs w:val="20"/>
        </w:rPr>
        <w:t>para o medicamento de AIP</w:t>
      </w:r>
      <w:r w:rsidRPr="006537F5">
        <w:rPr>
          <w:sz w:val="20"/>
          <w:szCs w:val="20"/>
        </w:rPr>
        <w:t xml:space="preserve"> </w:t>
      </w:r>
      <w:r w:rsidR="001E2584" w:rsidRPr="006537F5">
        <w:rPr>
          <w:sz w:val="20"/>
          <w:szCs w:val="20"/>
        </w:rPr>
        <w:t xml:space="preserve">deve incluir a sigla IP no final e, conforme referido na </w:t>
      </w:r>
      <w:hyperlink r:id="rId11" w:history="1">
        <w:r w:rsidR="001E2584" w:rsidRPr="006537F5">
          <w:rPr>
            <w:rStyle w:val="Hiperligao"/>
            <w:sz w:val="20"/>
            <w:szCs w:val="20"/>
          </w:rPr>
          <w:t>Norma orientadora para aceitação de nomes de medicamentos</w:t>
        </w:r>
      </w:hyperlink>
      <w:r w:rsidR="001E2584" w:rsidRPr="006537F5">
        <w:rPr>
          <w:sz w:val="20"/>
          <w:szCs w:val="20"/>
        </w:rPr>
        <w:t>, deve</w:t>
      </w:r>
      <w:r w:rsidRPr="006537F5">
        <w:rPr>
          <w:sz w:val="20"/>
          <w:szCs w:val="20"/>
        </w:rPr>
        <w:t>,</w:t>
      </w:r>
      <w:r w:rsidR="001E2584" w:rsidRPr="006537F5">
        <w:rPr>
          <w:sz w:val="20"/>
          <w:szCs w:val="20"/>
        </w:rPr>
        <w:t xml:space="preserve"> preferencialmente</w:t>
      </w:r>
      <w:r w:rsidRPr="006537F5">
        <w:rPr>
          <w:sz w:val="20"/>
          <w:szCs w:val="20"/>
        </w:rPr>
        <w:t>,</w:t>
      </w:r>
      <w:r w:rsidR="001E2584" w:rsidRPr="006537F5">
        <w:rPr>
          <w:sz w:val="20"/>
          <w:szCs w:val="20"/>
        </w:rPr>
        <w:t xml:space="preserve"> seguir o nome adotado no país de origem.</w:t>
      </w:r>
    </w:p>
    <w:p w14:paraId="1FC9997D" w14:textId="497BEEA8" w:rsidR="006537F5" w:rsidRDefault="006537F5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preço </w:t>
      </w:r>
      <w:r w:rsidRPr="008D4783">
        <w:rPr>
          <w:sz w:val="20"/>
          <w:szCs w:val="20"/>
        </w:rPr>
        <w:t>proposto</w:t>
      </w:r>
      <w:r>
        <w:rPr>
          <w:sz w:val="20"/>
          <w:szCs w:val="20"/>
        </w:rPr>
        <w:t xml:space="preserve"> deve obedecer a</w:t>
      </w:r>
      <w:r w:rsidRPr="006537F5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estabelecido </w:t>
      </w:r>
      <w:r w:rsidRPr="006537F5">
        <w:rPr>
          <w:sz w:val="20"/>
          <w:szCs w:val="20"/>
        </w:rPr>
        <w:t>nos artigos 8</w:t>
      </w:r>
      <w:r w:rsidR="008D4783">
        <w:rPr>
          <w:sz w:val="20"/>
          <w:szCs w:val="20"/>
        </w:rPr>
        <w:t>.</w:t>
      </w:r>
      <w:r w:rsidRPr="006537F5">
        <w:rPr>
          <w:sz w:val="20"/>
          <w:szCs w:val="20"/>
        </w:rPr>
        <w:t>º e 11</w:t>
      </w:r>
      <w:r w:rsidR="008D4783">
        <w:rPr>
          <w:sz w:val="20"/>
          <w:szCs w:val="20"/>
        </w:rPr>
        <w:t>.</w:t>
      </w:r>
      <w:r w:rsidRPr="006537F5">
        <w:rPr>
          <w:sz w:val="20"/>
          <w:szCs w:val="20"/>
        </w:rPr>
        <w:t xml:space="preserve">º da </w:t>
      </w:r>
      <w:hyperlink r:id="rId12" w:history="1">
        <w:r w:rsidRPr="006537F5">
          <w:rPr>
            <w:rStyle w:val="Hiperligao"/>
            <w:sz w:val="20"/>
            <w:szCs w:val="20"/>
          </w:rPr>
          <w:t>Portaria n.º 195-C/2015, 30 de junho</w:t>
        </w:r>
      </w:hyperlink>
      <w:r>
        <w:rPr>
          <w:sz w:val="20"/>
          <w:szCs w:val="20"/>
        </w:rPr>
        <w:t>, na sua redação atual</w:t>
      </w:r>
      <w:r w:rsidRPr="006537F5">
        <w:rPr>
          <w:sz w:val="20"/>
          <w:szCs w:val="20"/>
        </w:rPr>
        <w:t>.</w:t>
      </w:r>
      <w:r w:rsidR="00FD1C6D">
        <w:rPr>
          <w:sz w:val="20"/>
          <w:szCs w:val="20"/>
        </w:rPr>
        <w:t xml:space="preserve"> A aprovação do preço antecede o pagamento da taxa e análise do pedido de AIP, para que os requerentes possam decidir a viabilidade da comercialização.  </w:t>
      </w:r>
    </w:p>
    <w:p w14:paraId="77C3A9E7" w14:textId="2509953A" w:rsidR="006537F5" w:rsidRPr="006537F5" w:rsidRDefault="006537F5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que respeita à documentação a anexar, esclarece-se o seguinte:</w:t>
      </w:r>
    </w:p>
    <w:p w14:paraId="37A58CEE" w14:textId="7583C3AF" w:rsidR="00F02352" w:rsidRPr="00FD1C6D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FD1C6D">
        <w:rPr>
          <w:sz w:val="20"/>
          <w:szCs w:val="20"/>
        </w:rPr>
        <w:t xml:space="preserve">Para efeitos de submissão do comprovativo de pagamento da </w:t>
      </w:r>
      <w:r w:rsidRPr="008D4783">
        <w:rPr>
          <w:b/>
          <w:bCs/>
          <w:sz w:val="20"/>
          <w:szCs w:val="20"/>
        </w:rPr>
        <w:t>taxa</w:t>
      </w:r>
      <w:r w:rsidRPr="00FD1C6D">
        <w:rPr>
          <w:sz w:val="20"/>
          <w:szCs w:val="20"/>
        </w:rPr>
        <w:t xml:space="preserve">, deve ser enviada a </w:t>
      </w:r>
      <w:hyperlink r:id="rId13" w:history="1">
        <w:r w:rsidRPr="00FD1C6D">
          <w:rPr>
            <w:rStyle w:val="Hiperligao"/>
            <w:sz w:val="20"/>
            <w:szCs w:val="20"/>
          </w:rPr>
          <w:t>Guia de Pagamento</w:t>
        </w:r>
      </w:hyperlink>
      <w:r w:rsidRPr="00FD1C6D">
        <w:rPr>
          <w:sz w:val="20"/>
          <w:szCs w:val="20"/>
        </w:rPr>
        <w:t xml:space="preserve"> preenchida e o comprovativo de transferência bancária</w:t>
      </w:r>
      <w:r w:rsidR="00FD1C6D" w:rsidRPr="00FD1C6D">
        <w:rPr>
          <w:sz w:val="20"/>
          <w:szCs w:val="20"/>
        </w:rPr>
        <w:t xml:space="preserve">. O Infarmed só irá solicitar o envio do comprovativo do pagamento da taxa, após concordância do requerente com o preço a praticar para o medicamento alvo de AIP. </w:t>
      </w:r>
    </w:p>
    <w:p w14:paraId="18928901" w14:textId="64F2C5B7" w:rsidR="00F02352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RCM </w:t>
      </w:r>
      <w:r w:rsidRPr="008D4783">
        <w:rPr>
          <w:sz w:val="20"/>
          <w:szCs w:val="20"/>
        </w:rPr>
        <w:t>e</w:t>
      </w:r>
      <w:r w:rsidRPr="008D4783">
        <w:rPr>
          <w:b/>
          <w:bCs/>
          <w:sz w:val="20"/>
          <w:szCs w:val="20"/>
        </w:rPr>
        <w:t xml:space="preserve"> FI </w:t>
      </w:r>
      <w:r w:rsidRPr="008D4783">
        <w:rPr>
          <w:sz w:val="20"/>
          <w:szCs w:val="20"/>
        </w:rPr>
        <w:t>proposto</w:t>
      </w:r>
      <w:r>
        <w:rPr>
          <w:sz w:val="20"/>
          <w:szCs w:val="20"/>
        </w:rPr>
        <w:t xml:space="preserve"> devem obedecer </w:t>
      </w:r>
      <w:r w:rsidR="00446EDB">
        <w:rPr>
          <w:sz w:val="20"/>
          <w:szCs w:val="20"/>
        </w:rPr>
        <w:t>às regras definidas para os restantes medicamentos, salvaguardando que:</w:t>
      </w:r>
    </w:p>
    <w:p w14:paraId="5097F777" w14:textId="309820B9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 medicamento de AIP tem de ter as mesmas indicações terapêuticas que o medicamento considerado;</w:t>
      </w:r>
    </w:p>
    <w:p w14:paraId="3B671E4B" w14:textId="77777777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 nome do medicamento inclui a sigla IP;</w:t>
      </w:r>
    </w:p>
    <w:p w14:paraId="572C16CC" w14:textId="6BEA0A41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São incluídas a</w:t>
      </w:r>
      <w:r w:rsidRPr="00446EDB">
        <w:rPr>
          <w:sz w:val="20"/>
          <w:szCs w:val="20"/>
        </w:rPr>
        <w:t xml:space="preserve">s precauções particulares de conservação do medicamento objeto da </w:t>
      </w:r>
      <w:r>
        <w:rPr>
          <w:sz w:val="20"/>
          <w:szCs w:val="20"/>
        </w:rPr>
        <w:t>AIP</w:t>
      </w:r>
      <w:r w:rsidRPr="00446EDB">
        <w:rPr>
          <w:sz w:val="20"/>
          <w:szCs w:val="20"/>
        </w:rPr>
        <w:t>, se forem diferentes das do medicamento considerado</w:t>
      </w:r>
      <w:r>
        <w:rPr>
          <w:sz w:val="20"/>
          <w:szCs w:val="20"/>
        </w:rPr>
        <w:t>;</w:t>
      </w:r>
    </w:p>
    <w:p w14:paraId="0C983DCD" w14:textId="0B12D47F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incluída a </w:t>
      </w:r>
      <w:r w:rsidRPr="00446EDB">
        <w:rPr>
          <w:sz w:val="20"/>
          <w:szCs w:val="20"/>
        </w:rPr>
        <w:t>data da última revisão do folheto informativo do medicamento objeto da importação paralela</w:t>
      </w:r>
      <w:r>
        <w:rPr>
          <w:sz w:val="20"/>
          <w:szCs w:val="20"/>
        </w:rPr>
        <w:t>;</w:t>
      </w:r>
    </w:p>
    <w:p w14:paraId="2F9EA55E" w14:textId="10E818D3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É indicado o nome e morada do importador paralelo.</w:t>
      </w:r>
    </w:p>
    <w:p w14:paraId="6EFBEFF8" w14:textId="330D1345" w:rsidR="00446EDB" w:rsidRDefault="00446EDB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8D4783">
        <w:rPr>
          <w:b/>
          <w:bCs/>
          <w:sz w:val="20"/>
          <w:szCs w:val="20"/>
        </w:rPr>
        <w:t>rotulagem</w:t>
      </w:r>
      <w:r>
        <w:rPr>
          <w:sz w:val="20"/>
          <w:szCs w:val="20"/>
        </w:rPr>
        <w:t xml:space="preserve"> deve obedecer às regras definidas para os restantes medicamentos, salvaguardando que:</w:t>
      </w:r>
    </w:p>
    <w:p w14:paraId="30F6764F" w14:textId="77777777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 nome do medicamento inclui a sigla IP;</w:t>
      </w:r>
    </w:p>
    <w:p w14:paraId="0BE02C92" w14:textId="79B7DDC0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É indicado o nome e morada do importador paralelo</w:t>
      </w:r>
      <w:r w:rsidR="00473B8F">
        <w:rPr>
          <w:sz w:val="20"/>
          <w:szCs w:val="20"/>
        </w:rPr>
        <w:t>;</w:t>
      </w:r>
    </w:p>
    <w:p w14:paraId="0BB2EEA1" w14:textId="087C9B11" w:rsidR="00446EDB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incluído o </w:t>
      </w:r>
      <w:r w:rsidR="00446EDB">
        <w:rPr>
          <w:sz w:val="20"/>
          <w:szCs w:val="20"/>
        </w:rPr>
        <w:t>n.º de registo</w:t>
      </w:r>
      <w:r>
        <w:rPr>
          <w:sz w:val="20"/>
          <w:szCs w:val="20"/>
        </w:rPr>
        <w:t xml:space="preserve"> atribuído pelo Infarmed.</w:t>
      </w:r>
    </w:p>
    <w:p w14:paraId="48DC06B2" w14:textId="2E3B5D62" w:rsidR="00E91F34" w:rsidRPr="00473B8F" w:rsidRDefault="00E91F34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>Resumo do Sistema de Farmacovigilância</w:t>
      </w:r>
      <w:r w:rsidRPr="00473B8F">
        <w:rPr>
          <w:sz w:val="20"/>
          <w:szCs w:val="20"/>
        </w:rPr>
        <w:t xml:space="preserve"> deve </w:t>
      </w:r>
      <w:r w:rsidR="00473B8F" w:rsidRPr="00473B8F">
        <w:rPr>
          <w:sz w:val="20"/>
          <w:szCs w:val="20"/>
        </w:rPr>
        <w:t xml:space="preserve">obedecer </w:t>
      </w:r>
      <w:r w:rsidR="00473B8F">
        <w:rPr>
          <w:sz w:val="20"/>
          <w:szCs w:val="20"/>
        </w:rPr>
        <w:t>aos requisitos</w:t>
      </w:r>
      <w:r w:rsidR="00473B8F" w:rsidRPr="00473B8F">
        <w:rPr>
          <w:sz w:val="20"/>
          <w:szCs w:val="20"/>
        </w:rPr>
        <w:t xml:space="preserve"> europeu</w:t>
      </w:r>
      <w:r w:rsidR="00473B8F">
        <w:rPr>
          <w:sz w:val="20"/>
          <w:szCs w:val="20"/>
        </w:rPr>
        <w:t>s</w:t>
      </w:r>
      <w:r w:rsidR="00473B8F">
        <w:rPr>
          <w:rStyle w:val="Refdenotaderodap"/>
          <w:sz w:val="20"/>
          <w:szCs w:val="20"/>
        </w:rPr>
        <w:footnoteReference w:id="2"/>
      </w:r>
      <w:r w:rsidR="00473B8F" w:rsidRPr="00473B8F">
        <w:rPr>
          <w:sz w:val="20"/>
          <w:szCs w:val="20"/>
        </w:rPr>
        <w:t xml:space="preserve"> e </w:t>
      </w:r>
      <w:r w:rsidRPr="00473B8F">
        <w:rPr>
          <w:sz w:val="20"/>
          <w:szCs w:val="20"/>
        </w:rPr>
        <w:t>incluir o seguinte:</w:t>
      </w:r>
    </w:p>
    <w:p w14:paraId="748BD62C" w14:textId="4F12F7B5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91F34" w:rsidRPr="00473B8F">
        <w:rPr>
          <w:sz w:val="20"/>
          <w:szCs w:val="20"/>
        </w:rPr>
        <w:t>rova de que o requerente dispõe dos serviços de uma pessoa qualificada responsável pela farmacovigilância</w:t>
      </w:r>
      <w:r>
        <w:rPr>
          <w:sz w:val="20"/>
          <w:szCs w:val="20"/>
        </w:rPr>
        <w:t>;</w:t>
      </w:r>
    </w:p>
    <w:p w14:paraId="409157F2" w14:textId="47007B57" w:rsidR="00E91F34" w:rsidRPr="00473B8F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473B8F">
        <w:rPr>
          <w:sz w:val="20"/>
          <w:szCs w:val="20"/>
        </w:rPr>
        <w:t>Estado</w:t>
      </w:r>
      <w:r w:rsidR="00473B8F">
        <w:rPr>
          <w:sz w:val="20"/>
          <w:szCs w:val="20"/>
        </w:rPr>
        <w:t xml:space="preserve"> m</w:t>
      </w:r>
      <w:r w:rsidRPr="00473B8F">
        <w:rPr>
          <w:sz w:val="20"/>
          <w:szCs w:val="20"/>
        </w:rPr>
        <w:t xml:space="preserve">embro de residência e </w:t>
      </w:r>
      <w:r w:rsidR="00473B8F" w:rsidRPr="00473B8F">
        <w:rPr>
          <w:sz w:val="20"/>
          <w:szCs w:val="20"/>
        </w:rPr>
        <w:t>atividade</w:t>
      </w:r>
      <w:r w:rsidRPr="00473B8F">
        <w:rPr>
          <w:sz w:val="20"/>
          <w:szCs w:val="20"/>
        </w:rPr>
        <w:t xml:space="preserve"> da pessoa qualificada</w:t>
      </w:r>
      <w:r w:rsidR="008D4783">
        <w:rPr>
          <w:sz w:val="20"/>
          <w:szCs w:val="20"/>
        </w:rPr>
        <w:t>;</w:t>
      </w:r>
    </w:p>
    <w:p w14:paraId="2F17B0BE" w14:textId="734EE899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73B8F">
        <w:rPr>
          <w:sz w:val="20"/>
          <w:szCs w:val="20"/>
        </w:rPr>
        <w:t>ontactos</w:t>
      </w:r>
      <w:r w:rsidR="00E91F34" w:rsidRPr="00473B8F">
        <w:rPr>
          <w:sz w:val="20"/>
          <w:szCs w:val="20"/>
        </w:rPr>
        <w:t xml:space="preserve"> da pessoa qualificada</w:t>
      </w:r>
      <w:r>
        <w:rPr>
          <w:sz w:val="20"/>
          <w:szCs w:val="20"/>
        </w:rPr>
        <w:t>;</w:t>
      </w:r>
    </w:p>
    <w:p w14:paraId="6DF89AA7" w14:textId="2AC662E6" w:rsidR="00E91F34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91F34" w:rsidRPr="00473B8F">
        <w:rPr>
          <w:sz w:val="20"/>
          <w:szCs w:val="20"/>
        </w:rPr>
        <w:t xml:space="preserve">eclaração, assinada pelo requerente, atestando que dispõe dos meios necessários para cumprir as tarefas e as responsabilidades </w:t>
      </w:r>
      <w:r w:rsidR="00473B8F">
        <w:rPr>
          <w:sz w:val="20"/>
          <w:szCs w:val="20"/>
        </w:rPr>
        <w:t>de farmacovigilância</w:t>
      </w:r>
      <w:r>
        <w:rPr>
          <w:sz w:val="20"/>
          <w:szCs w:val="20"/>
        </w:rPr>
        <w:t>;</w:t>
      </w:r>
    </w:p>
    <w:p w14:paraId="2F559911" w14:textId="275BE24F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rFonts w:cstheme="minorHAnsi"/>
          <w:sz w:val="20"/>
          <w:szCs w:val="24"/>
        </w:rPr>
        <w:t>R</w:t>
      </w:r>
      <w:r w:rsidR="00E91F34" w:rsidRPr="00473B8F">
        <w:rPr>
          <w:rFonts w:cstheme="minorHAnsi"/>
          <w:sz w:val="20"/>
          <w:szCs w:val="24"/>
        </w:rPr>
        <w:t>eferência ao local onde se encontra o dossiê principal do sistema de farmacovigilância relativo ao medicamento em causa</w:t>
      </w:r>
      <w:r w:rsidR="00473B8F">
        <w:rPr>
          <w:rFonts w:cstheme="minorHAnsi"/>
          <w:sz w:val="20"/>
          <w:szCs w:val="24"/>
        </w:rPr>
        <w:t>.</w:t>
      </w:r>
    </w:p>
    <w:p w14:paraId="526B6D88" w14:textId="0DAF26FC" w:rsidR="00B56E14" w:rsidRPr="00B56E14" w:rsidRDefault="00B56E14" w:rsidP="00773620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decurso do processo, o Infarmed pode solicitar outros elementos que se considerem necessários. </w:t>
      </w:r>
    </w:p>
    <w:p w14:paraId="1BC17C20" w14:textId="14E5F557" w:rsidR="00967F7D" w:rsidRDefault="00967F7D" w:rsidP="00E91F34">
      <w:pPr>
        <w:pStyle w:val="Ttulo2"/>
        <w:spacing w:before="0" w:after="120"/>
      </w:pPr>
    </w:p>
    <w:p w14:paraId="4A64E7FA" w14:textId="77777777" w:rsidR="007425D2" w:rsidRDefault="007425D2" w:rsidP="008D4783">
      <w:pPr>
        <w:pStyle w:val="Ttulo2"/>
        <w:spacing w:after="120"/>
      </w:pPr>
      <w:r>
        <w:t>Dispositivos de segurança</w:t>
      </w:r>
    </w:p>
    <w:p w14:paraId="64F9667E" w14:textId="613EEA30" w:rsidR="007425D2" w:rsidRPr="007425D2" w:rsidRDefault="007425D2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7425D2">
        <w:rPr>
          <w:sz w:val="20"/>
          <w:szCs w:val="20"/>
        </w:rPr>
        <w:t xml:space="preserve">s embalagens de medicamentos de uso humano autorizados nacionalmente </w:t>
      </w:r>
      <w:r>
        <w:rPr>
          <w:sz w:val="20"/>
          <w:szCs w:val="20"/>
        </w:rPr>
        <w:t xml:space="preserve">podem ter de dispor de um </w:t>
      </w:r>
      <w:r w:rsidR="001E6787" w:rsidRPr="007425D2">
        <w:rPr>
          <w:sz w:val="20"/>
          <w:szCs w:val="20"/>
        </w:rPr>
        <w:t>identificador únic</w:t>
      </w:r>
      <w:r w:rsidR="001E6787">
        <w:rPr>
          <w:sz w:val="20"/>
          <w:szCs w:val="20"/>
        </w:rPr>
        <w:t xml:space="preserve">o e de um </w:t>
      </w:r>
      <w:r w:rsidR="001E6787"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, conforme previsto no Estatuto do Medicamento e </w:t>
      </w:r>
      <w:r w:rsidRPr="007425D2">
        <w:rPr>
          <w:sz w:val="20"/>
          <w:szCs w:val="20"/>
        </w:rPr>
        <w:t>Regulamento Delegado (UE) 2016/161, de 2 de outubro de 2015</w:t>
      </w:r>
      <w:r>
        <w:rPr>
          <w:sz w:val="20"/>
          <w:szCs w:val="20"/>
        </w:rPr>
        <w:t xml:space="preserve">. Sobre este assunto, sugere-se a consulta às FAQ disponíveis no </w:t>
      </w:r>
      <w:hyperlink r:id="rId14" w:history="1">
        <w:r w:rsidRPr="007425D2">
          <w:rPr>
            <w:rStyle w:val="Hiperligao"/>
            <w:sz w:val="20"/>
            <w:szCs w:val="20"/>
          </w:rPr>
          <w:t>site do Infarmed</w:t>
        </w:r>
      </w:hyperlink>
      <w:r>
        <w:rPr>
          <w:sz w:val="20"/>
          <w:szCs w:val="20"/>
        </w:rPr>
        <w:t xml:space="preserve"> e no site da </w:t>
      </w:r>
      <w:hyperlink r:id="rId15" w:anchor="safety-features" w:history="1">
        <w:r w:rsidRPr="001E6787">
          <w:rPr>
            <w:rStyle w:val="Hiperligao"/>
            <w:sz w:val="20"/>
            <w:szCs w:val="20"/>
          </w:rPr>
          <w:t>Comissão Europeia</w:t>
        </w:r>
      </w:hyperlink>
      <w:r>
        <w:rPr>
          <w:sz w:val="20"/>
          <w:szCs w:val="20"/>
        </w:rPr>
        <w:t>.</w:t>
      </w:r>
    </w:p>
    <w:p w14:paraId="61BD1364" w14:textId="57AA9732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titular de um medicamento de AIP deve assegurar-se da </w:t>
      </w:r>
      <w:r w:rsidR="007425D2" w:rsidRPr="007425D2">
        <w:rPr>
          <w:sz w:val="20"/>
          <w:szCs w:val="20"/>
        </w:rPr>
        <w:t xml:space="preserve">autenticidade do identificador único </w:t>
      </w:r>
      <w:r>
        <w:rPr>
          <w:sz w:val="20"/>
          <w:szCs w:val="20"/>
        </w:rPr>
        <w:t>aposto pelo</w:t>
      </w:r>
      <w:r w:rsidR="007425D2" w:rsidRPr="007425D2">
        <w:rPr>
          <w:sz w:val="20"/>
          <w:szCs w:val="20"/>
        </w:rPr>
        <w:t xml:space="preserve"> fabricante e </w:t>
      </w:r>
      <w:r>
        <w:rPr>
          <w:sz w:val="20"/>
          <w:szCs w:val="20"/>
        </w:rPr>
        <w:t xml:space="preserve">da </w:t>
      </w:r>
      <w:r w:rsidR="007425D2" w:rsidRPr="007425D2">
        <w:rPr>
          <w:sz w:val="20"/>
          <w:szCs w:val="20"/>
        </w:rPr>
        <w:t xml:space="preserve">integridade do </w:t>
      </w:r>
      <w:r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. </w:t>
      </w:r>
    </w:p>
    <w:p w14:paraId="580B653A" w14:textId="77777777" w:rsidR="008D4783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Nas situações em que ocorra </w:t>
      </w:r>
      <w:proofErr w:type="spellStart"/>
      <w:r>
        <w:rPr>
          <w:sz w:val="20"/>
          <w:szCs w:val="20"/>
        </w:rPr>
        <w:t>reembalagem</w:t>
      </w:r>
      <w:proofErr w:type="spellEnd"/>
      <w:r>
        <w:rPr>
          <w:sz w:val="20"/>
          <w:szCs w:val="20"/>
        </w:rPr>
        <w:t xml:space="preserve">, deverá ser garantido que o </w:t>
      </w:r>
      <w:r w:rsidRPr="007425D2">
        <w:rPr>
          <w:sz w:val="20"/>
          <w:szCs w:val="20"/>
        </w:rPr>
        <w:t xml:space="preserve">identificador único </w:t>
      </w:r>
      <w:r>
        <w:rPr>
          <w:sz w:val="20"/>
          <w:szCs w:val="20"/>
        </w:rPr>
        <w:t>aposto pelo</w:t>
      </w:r>
      <w:r w:rsidRPr="007425D2">
        <w:rPr>
          <w:sz w:val="20"/>
          <w:szCs w:val="20"/>
        </w:rPr>
        <w:t xml:space="preserve"> fabricante </w:t>
      </w:r>
      <w:r>
        <w:rPr>
          <w:sz w:val="20"/>
          <w:szCs w:val="20"/>
        </w:rPr>
        <w:t xml:space="preserve">original é desativado e substituído </w:t>
      </w:r>
      <w:r w:rsidRPr="007425D2">
        <w:rPr>
          <w:sz w:val="20"/>
          <w:szCs w:val="20"/>
        </w:rPr>
        <w:t xml:space="preserve">por um </w:t>
      </w:r>
      <w:r>
        <w:rPr>
          <w:sz w:val="20"/>
          <w:szCs w:val="20"/>
        </w:rPr>
        <w:t xml:space="preserve">novo </w:t>
      </w:r>
      <w:r w:rsidRPr="007425D2">
        <w:rPr>
          <w:sz w:val="20"/>
          <w:szCs w:val="20"/>
        </w:rPr>
        <w:t>identificador único como</w:t>
      </w:r>
      <w:r>
        <w:rPr>
          <w:sz w:val="20"/>
          <w:szCs w:val="20"/>
        </w:rPr>
        <w:t xml:space="preserve"> </w:t>
      </w:r>
      <w:r w:rsidRPr="007425D2">
        <w:rPr>
          <w:sz w:val="20"/>
          <w:szCs w:val="20"/>
        </w:rPr>
        <w:t xml:space="preserve">parte da operação de </w:t>
      </w:r>
      <w:proofErr w:type="spellStart"/>
      <w:r w:rsidRPr="007425D2">
        <w:rPr>
          <w:sz w:val="20"/>
          <w:szCs w:val="20"/>
        </w:rPr>
        <w:t>reembalagem</w:t>
      </w:r>
      <w:proofErr w:type="spellEnd"/>
      <w:r w:rsidRPr="007425D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76F6B26" w14:textId="566E486A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Relativamente a</w:t>
      </w:r>
      <w:r w:rsidRPr="007425D2">
        <w:rPr>
          <w:sz w:val="20"/>
          <w:szCs w:val="20"/>
        </w:rPr>
        <w:t>o dispositivo de prevenção de adulterações</w:t>
      </w:r>
      <w:r>
        <w:rPr>
          <w:sz w:val="20"/>
          <w:szCs w:val="20"/>
        </w:rPr>
        <w:t xml:space="preserve">, deverá ser adotado o mesmo princípio, ou seja, sempre que este dispositivo seja danificado </w:t>
      </w:r>
      <w:r w:rsidR="008D4783">
        <w:rPr>
          <w:sz w:val="20"/>
          <w:szCs w:val="20"/>
        </w:rPr>
        <w:t xml:space="preserve">durante as operações de </w:t>
      </w:r>
      <w:proofErr w:type="spellStart"/>
      <w:r w:rsidR="008D4783">
        <w:rPr>
          <w:sz w:val="20"/>
          <w:szCs w:val="20"/>
        </w:rPr>
        <w:t>reembalagem</w:t>
      </w:r>
      <w:proofErr w:type="spellEnd"/>
      <w:r w:rsidR="008D4783">
        <w:rPr>
          <w:sz w:val="20"/>
          <w:szCs w:val="20"/>
        </w:rPr>
        <w:t xml:space="preserve">/rotulagem </w:t>
      </w:r>
      <w:r>
        <w:rPr>
          <w:sz w:val="20"/>
          <w:szCs w:val="20"/>
        </w:rPr>
        <w:t xml:space="preserve">deve ser substituído por outro, que permita identificar que a embalagem do medicamento não foi </w:t>
      </w:r>
      <w:r w:rsidR="008D4783">
        <w:rPr>
          <w:sz w:val="20"/>
          <w:szCs w:val="20"/>
        </w:rPr>
        <w:t>adulterada</w:t>
      </w:r>
      <w:r>
        <w:rPr>
          <w:sz w:val="20"/>
          <w:szCs w:val="20"/>
        </w:rPr>
        <w:t>.</w:t>
      </w:r>
    </w:p>
    <w:p w14:paraId="4677424A" w14:textId="686E7090" w:rsidR="001E6787" w:rsidRDefault="001E6787" w:rsidP="007425D2">
      <w:pPr>
        <w:spacing w:after="120"/>
        <w:jc w:val="both"/>
        <w:rPr>
          <w:sz w:val="20"/>
          <w:szCs w:val="20"/>
        </w:rPr>
      </w:pPr>
    </w:p>
    <w:p w14:paraId="5501C712" w14:textId="5E1E139D" w:rsidR="00993FAC" w:rsidRDefault="00993FAC" w:rsidP="008D4783">
      <w:pPr>
        <w:pStyle w:val="Ttulo2"/>
        <w:spacing w:after="120"/>
      </w:pPr>
      <w:r>
        <w:t>Alterações aos termos da AIP</w:t>
      </w:r>
    </w:p>
    <w:p w14:paraId="4A905851" w14:textId="00AAEF48" w:rsidR="00993FAC" w:rsidRDefault="00993FAC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Todas as alterações</w:t>
      </w:r>
      <w:r w:rsidRPr="00993FAC">
        <w:rPr>
          <w:sz w:val="20"/>
          <w:szCs w:val="20"/>
        </w:rPr>
        <w:t xml:space="preserve"> com impacto nos textos </w:t>
      </w:r>
      <w:r>
        <w:rPr>
          <w:sz w:val="20"/>
          <w:szCs w:val="20"/>
        </w:rPr>
        <w:t xml:space="preserve">aprovados para </w:t>
      </w:r>
      <w:r w:rsidRPr="00993FAC">
        <w:rPr>
          <w:sz w:val="20"/>
          <w:szCs w:val="20"/>
        </w:rPr>
        <w:t>o medicamento</w:t>
      </w:r>
      <w:r>
        <w:rPr>
          <w:sz w:val="20"/>
          <w:szCs w:val="20"/>
        </w:rPr>
        <w:t xml:space="preserve"> objeto de AIP</w:t>
      </w:r>
      <w:r w:rsidRPr="00993FAC">
        <w:rPr>
          <w:sz w:val="20"/>
          <w:szCs w:val="20"/>
        </w:rPr>
        <w:t xml:space="preserve"> (RCM, FI e Rotulagem</w:t>
      </w:r>
      <w:r>
        <w:rPr>
          <w:sz w:val="20"/>
          <w:szCs w:val="20"/>
        </w:rPr>
        <w:t>) têm de ser submetidas no</w:t>
      </w:r>
      <w:r w:rsidRPr="00993FAC">
        <w:rPr>
          <w:sz w:val="20"/>
          <w:szCs w:val="20"/>
        </w:rPr>
        <w:t xml:space="preserve"> portal eletrónico </w:t>
      </w:r>
      <w:hyperlink r:id="rId16" w:history="1">
        <w:r w:rsidRPr="00993FAC">
          <w:rPr>
            <w:rStyle w:val="Hiperligao"/>
            <w:sz w:val="20"/>
            <w:szCs w:val="20"/>
          </w:rPr>
          <w:t>Sistema de Gestão de Medicamentos de Uso Humano - Alterações</w:t>
        </w:r>
      </w:hyperlink>
      <w:r w:rsidRPr="00993FAC">
        <w:rPr>
          <w:sz w:val="20"/>
          <w:szCs w:val="20"/>
        </w:rPr>
        <w:t xml:space="preserve"> (SMUH-ALTER)</w:t>
      </w:r>
      <w:r>
        <w:rPr>
          <w:sz w:val="20"/>
          <w:szCs w:val="20"/>
        </w:rPr>
        <w:t>.</w:t>
      </w:r>
    </w:p>
    <w:p w14:paraId="502FCF55" w14:textId="38AA5760" w:rsidR="00993FAC" w:rsidRDefault="00993FAC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 alterações que não tenham impacto nestes documentos não carecem de submissão ao Infarmed.</w:t>
      </w:r>
    </w:p>
    <w:p w14:paraId="79E6DCE2" w14:textId="28B4BBB2" w:rsidR="00993FAC" w:rsidRDefault="00993FAC" w:rsidP="00993FAC">
      <w:pPr>
        <w:spacing w:after="120"/>
        <w:jc w:val="both"/>
        <w:rPr>
          <w:sz w:val="20"/>
          <w:szCs w:val="20"/>
        </w:rPr>
      </w:pPr>
    </w:p>
    <w:p w14:paraId="38915D3A" w14:textId="68F3B01C" w:rsidR="00993FAC" w:rsidRPr="00993FAC" w:rsidRDefault="00993FAC" w:rsidP="008D4783">
      <w:pPr>
        <w:pStyle w:val="Ttulo2"/>
        <w:spacing w:after="120"/>
      </w:pPr>
      <w:r w:rsidRPr="00993FAC">
        <w:lastRenderedPageBreak/>
        <w:t>Renovação da AIP</w:t>
      </w:r>
    </w:p>
    <w:p w14:paraId="46DA062B" w14:textId="04FE1028" w:rsidR="000E67F0" w:rsidRDefault="000E67F0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0E67F0">
        <w:rPr>
          <w:sz w:val="20"/>
          <w:szCs w:val="20"/>
        </w:rPr>
        <w:t xml:space="preserve">s pedidos de </w:t>
      </w:r>
      <w:r w:rsidR="002F5AD4">
        <w:rPr>
          <w:sz w:val="20"/>
          <w:szCs w:val="20"/>
        </w:rPr>
        <w:t>renovação</w:t>
      </w:r>
      <w:r w:rsidRPr="000E67F0">
        <w:rPr>
          <w:sz w:val="20"/>
          <w:szCs w:val="20"/>
        </w:rPr>
        <w:t xml:space="preserve"> de AI</w:t>
      </w:r>
      <w:r>
        <w:rPr>
          <w:sz w:val="20"/>
          <w:szCs w:val="20"/>
        </w:rPr>
        <w:t>P têm de ser submetidos no</w:t>
      </w:r>
      <w:r w:rsidRPr="00993FAC">
        <w:rPr>
          <w:sz w:val="20"/>
          <w:szCs w:val="20"/>
        </w:rPr>
        <w:t xml:space="preserve"> portal eletrónico </w:t>
      </w:r>
      <w:hyperlink r:id="rId17" w:history="1">
        <w:r w:rsidRPr="00993FAC">
          <w:rPr>
            <w:rStyle w:val="Hiperligao"/>
            <w:sz w:val="20"/>
            <w:szCs w:val="20"/>
          </w:rPr>
          <w:t>Sistema de Gestão de Medicamentos de Uso Humano - Alterações</w:t>
        </w:r>
      </w:hyperlink>
      <w:r w:rsidRPr="00993FAC">
        <w:rPr>
          <w:sz w:val="20"/>
          <w:szCs w:val="20"/>
        </w:rPr>
        <w:t xml:space="preserve"> (SMUH-ALTER)</w:t>
      </w:r>
      <w:r>
        <w:rPr>
          <w:sz w:val="20"/>
          <w:szCs w:val="20"/>
        </w:rPr>
        <w:t>.</w:t>
      </w:r>
    </w:p>
    <w:p w14:paraId="7C22812D" w14:textId="77777777" w:rsidR="00AD19BB" w:rsidRDefault="00AD19BB" w:rsidP="000E67F0">
      <w:pPr>
        <w:spacing w:after="120"/>
        <w:jc w:val="both"/>
        <w:rPr>
          <w:sz w:val="20"/>
          <w:szCs w:val="20"/>
        </w:rPr>
      </w:pPr>
    </w:p>
    <w:p w14:paraId="09AD0BAC" w14:textId="7A47F8E5" w:rsidR="00AD19BB" w:rsidRPr="00993FAC" w:rsidRDefault="00AD19BB" w:rsidP="008D4783">
      <w:pPr>
        <w:pStyle w:val="Ttulo2"/>
        <w:spacing w:after="120"/>
      </w:pPr>
      <w:r w:rsidRPr="00993FAC">
        <w:t>Re</w:t>
      </w:r>
      <w:r>
        <w:t>vogação</w:t>
      </w:r>
      <w:r w:rsidRPr="00993FAC">
        <w:t xml:space="preserve"> da AIP</w:t>
      </w:r>
    </w:p>
    <w:p w14:paraId="404322D4" w14:textId="2C0A02E7" w:rsidR="00AD19BB" w:rsidRPr="00B31490" w:rsidRDefault="00AD19BB" w:rsidP="008D4783">
      <w:pPr>
        <w:spacing w:after="120" w:line="360" w:lineRule="auto"/>
        <w:jc w:val="both"/>
        <w:rPr>
          <w:sz w:val="20"/>
          <w:szCs w:val="20"/>
        </w:rPr>
      </w:pPr>
      <w:r w:rsidRPr="00B31490">
        <w:rPr>
          <w:sz w:val="20"/>
          <w:szCs w:val="20"/>
        </w:rPr>
        <w:t xml:space="preserve">Os pedidos de </w:t>
      </w:r>
      <w:r w:rsidR="00B31490" w:rsidRPr="00B31490">
        <w:rPr>
          <w:sz w:val="20"/>
          <w:szCs w:val="20"/>
        </w:rPr>
        <w:t>revogação</w:t>
      </w:r>
      <w:r w:rsidRPr="00B31490">
        <w:rPr>
          <w:sz w:val="20"/>
          <w:szCs w:val="20"/>
        </w:rPr>
        <w:t xml:space="preserve"> de AIP têm de ser </w:t>
      </w:r>
      <w:r w:rsidR="00B31490" w:rsidRPr="00B31490">
        <w:rPr>
          <w:sz w:val="20"/>
          <w:szCs w:val="20"/>
        </w:rPr>
        <w:t xml:space="preserve">enviados para </w:t>
      </w:r>
      <w:hyperlink r:id="rId18" w:history="1">
        <w:r w:rsidR="00B31490" w:rsidRPr="00B31490">
          <w:rPr>
            <w:rStyle w:val="Hiperligao"/>
            <w:sz w:val="20"/>
            <w:szCs w:val="20"/>
          </w:rPr>
          <w:t>revogacao.aim@infarmed.pt</w:t>
        </w:r>
      </w:hyperlink>
      <w:r w:rsidR="00B31490" w:rsidRPr="00B31490">
        <w:rPr>
          <w:sz w:val="20"/>
          <w:szCs w:val="20"/>
        </w:rPr>
        <w:t xml:space="preserve">, de acordo com as instruções disponíveis em </w:t>
      </w:r>
      <w:hyperlink r:id="rId19" w:history="1">
        <w:r w:rsidR="00B31490" w:rsidRPr="00B31490">
          <w:rPr>
            <w:rStyle w:val="Hiperligao"/>
            <w:sz w:val="20"/>
            <w:szCs w:val="20"/>
          </w:rPr>
          <w:t>Revogação de AIM</w:t>
        </w:r>
      </w:hyperlink>
      <w:r w:rsidRPr="00B31490">
        <w:rPr>
          <w:sz w:val="20"/>
          <w:szCs w:val="20"/>
        </w:rPr>
        <w:t>.</w:t>
      </w:r>
    </w:p>
    <w:p w14:paraId="64DEDD8D" w14:textId="171E2911" w:rsidR="00993FAC" w:rsidRDefault="00993FAC" w:rsidP="00993FAC">
      <w:pPr>
        <w:spacing w:after="120"/>
        <w:jc w:val="both"/>
        <w:rPr>
          <w:sz w:val="20"/>
          <w:szCs w:val="20"/>
        </w:rPr>
      </w:pPr>
    </w:p>
    <w:p w14:paraId="7B1A4026" w14:textId="391BDCE1" w:rsidR="00B31490" w:rsidRPr="00B31490" w:rsidRDefault="00B31490" w:rsidP="00B31490">
      <w:pPr>
        <w:rPr>
          <w:sz w:val="20"/>
          <w:szCs w:val="20"/>
        </w:rPr>
      </w:pPr>
    </w:p>
    <w:p w14:paraId="7CF56CF1" w14:textId="6E614525" w:rsidR="00B31490" w:rsidRPr="00B31490" w:rsidRDefault="00B31490" w:rsidP="00B31490">
      <w:pPr>
        <w:rPr>
          <w:sz w:val="20"/>
          <w:szCs w:val="20"/>
        </w:rPr>
      </w:pPr>
    </w:p>
    <w:p w14:paraId="24A6965A" w14:textId="25E2C28E" w:rsidR="00B31490" w:rsidRPr="00B31490" w:rsidRDefault="00B31490" w:rsidP="00B31490">
      <w:pPr>
        <w:rPr>
          <w:sz w:val="20"/>
          <w:szCs w:val="20"/>
        </w:rPr>
      </w:pPr>
    </w:p>
    <w:p w14:paraId="074E7C7C" w14:textId="690A4BAE" w:rsidR="00B31490" w:rsidRPr="00B31490" w:rsidRDefault="00B31490" w:rsidP="00B31490">
      <w:pPr>
        <w:rPr>
          <w:sz w:val="20"/>
          <w:szCs w:val="20"/>
        </w:rPr>
      </w:pPr>
    </w:p>
    <w:p w14:paraId="4B06399D" w14:textId="48DD08FC" w:rsidR="00B31490" w:rsidRPr="00B31490" w:rsidRDefault="00B31490" w:rsidP="00B31490">
      <w:pPr>
        <w:rPr>
          <w:sz w:val="20"/>
          <w:szCs w:val="20"/>
        </w:rPr>
      </w:pPr>
    </w:p>
    <w:p w14:paraId="62AE9A4A" w14:textId="5F61F48E" w:rsidR="00B31490" w:rsidRPr="00B31490" w:rsidRDefault="00B31490" w:rsidP="00B31490">
      <w:pPr>
        <w:rPr>
          <w:sz w:val="20"/>
          <w:szCs w:val="20"/>
        </w:rPr>
      </w:pPr>
    </w:p>
    <w:p w14:paraId="4BEFC619" w14:textId="488F971B" w:rsidR="00B31490" w:rsidRPr="00B31490" w:rsidRDefault="00B31490" w:rsidP="00B31490">
      <w:pPr>
        <w:rPr>
          <w:sz w:val="20"/>
          <w:szCs w:val="20"/>
        </w:rPr>
      </w:pPr>
    </w:p>
    <w:p w14:paraId="47A4C179" w14:textId="169F108F" w:rsidR="00B31490" w:rsidRPr="00B31490" w:rsidRDefault="00B31490" w:rsidP="00B31490">
      <w:pPr>
        <w:rPr>
          <w:sz w:val="20"/>
          <w:szCs w:val="20"/>
        </w:rPr>
      </w:pPr>
    </w:p>
    <w:p w14:paraId="6F4AEA01" w14:textId="28002113" w:rsidR="00B31490" w:rsidRPr="00B31490" w:rsidRDefault="00B31490" w:rsidP="00B31490">
      <w:pPr>
        <w:rPr>
          <w:sz w:val="20"/>
          <w:szCs w:val="20"/>
        </w:rPr>
      </w:pPr>
    </w:p>
    <w:p w14:paraId="2801A15B" w14:textId="6197F686" w:rsidR="00B31490" w:rsidRPr="00B31490" w:rsidRDefault="00B31490" w:rsidP="00B31490">
      <w:pPr>
        <w:tabs>
          <w:tab w:val="left" w:pos="25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31490" w:rsidRPr="00B31490" w:rsidSect="00FA1E10">
      <w:headerReference w:type="default" r:id="rId20"/>
      <w:footerReference w:type="default" r:id="rId21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68F5E2D5" w14:textId="77777777" w:rsidR="00FA1E10" w:rsidRDefault="00FA1E10" w:rsidP="00580D48">
        <w:pPr>
          <w:pStyle w:val="Rodap"/>
        </w:pPr>
      </w:p>
      <w:p w14:paraId="3C0BF865" w14:textId="2D18B7C2"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B31490">
          <w:rPr>
            <w:rFonts w:cstheme="minorHAnsi"/>
            <w:sz w:val="16"/>
            <w:szCs w:val="16"/>
          </w:rPr>
          <w:fldChar w:fldCharType="begin"/>
        </w:r>
        <w:r w:rsidR="00B31490">
          <w:rPr>
            <w:rFonts w:cstheme="minorHAnsi"/>
            <w:sz w:val="16"/>
            <w:szCs w:val="16"/>
          </w:rPr>
          <w:instrText xml:space="preserve"> TIME \@ "dd/MM/yyyy" </w:instrText>
        </w:r>
        <w:r w:rsidR="00B31490">
          <w:rPr>
            <w:rFonts w:cstheme="minorHAnsi"/>
            <w:sz w:val="16"/>
            <w:szCs w:val="16"/>
          </w:rPr>
          <w:fldChar w:fldCharType="separate"/>
        </w:r>
        <w:r w:rsidR="000B7457">
          <w:rPr>
            <w:rFonts w:cstheme="minorHAnsi"/>
            <w:noProof/>
            <w:sz w:val="16"/>
            <w:szCs w:val="16"/>
          </w:rPr>
          <w:t>07/12/2022</w:t>
        </w:r>
        <w:r w:rsidR="00B31490">
          <w:rPr>
            <w:rFonts w:cstheme="minorHAnsi"/>
            <w:sz w:val="16"/>
            <w:szCs w:val="16"/>
          </w:rPr>
          <w:fldChar w:fldCharType="end"/>
        </w:r>
        <w:r w:rsidR="006C19BD">
          <w:rPr>
            <w:rFonts w:cstheme="minorHAnsi"/>
            <w:sz w:val="16"/>
            <w:szCs w:val="16"/>
          </w:rPr>
          <w:tab/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32450D90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4CEEE183" w14:textId="549D48F3" w:rsidR="00EC0330" w:rsidRPr="00EC0330" w:rsidRDefault="00EC0330" w:rsidP="00EC0330">
      <w:pPr>
        <w:pStyle w:val="Textodenotaderodap"/>
        <w:jc w:val="both"/>
        <w:rPr>
          <w:sz w:val="16"/>
          <w:szCs w:val="16"/>
        </w:rPr>
      </w:pPr>
      <w:r w:rsidRPr="00EC0330">
        <w:rPr>
          <w:rStyle w:val="Refdenotaderodap"/>
          <w:sz w:val="16"/>
          <w:szCs w:val="16"/>
        </w:rPr>
        <w:footnoteRef/>
      </w:r>
      <w:r w:rsidRPr="00EC0330">
        <w:rPr>
          <w:sz w:val="16"/>
          <w:szCs w:val="16"/>
        </w:rPr>
        <w:t xml:space="preserve"> Os medicamentos autorizados por procedimento centralizado não podem ser alvo de AIP</w:t>
      </w:r>
      <w:r>
        <w:rPr>
          <w:sz w:val="16"/>
          <w:szCs w:val="16"/>
        </w:rPr>
        <w:t>, existindo um mecanismo específico designado por distribuição paralela.</w:t>
      </w:r>
    </w:p>
  </w:footnote>
  <w:footnote w:id="2">
    <w:p w14:paraId="367A43C1" w14:textId="159A218C" w:rsidR="00473B8F" w:rsidRPr="00473B8F" w:rsidRDefault="00473B8F">
      <w:pPr>
        <w:pStyle w:val="Textodenotaderodap"/>
        <w:rPr>
          <w:sz w:val="16"/>
          <w:szCs w:val="16"/>
        </w:rPr>
      </w:pPr>
      <w:r w:rsidRPr="00473B8F">
        <w:rPr>
          <w:rStyle w:val="Refdenotaderodap"/>
          <w:sz w:val="16"/>
          <w:szCs w:val="16"/>
        </w:rPr>
        <w:footnoteRef/>
      </w:r>
      <w:r w:rsidRPr="00473B8F">
        <w:rPr>
          <w:sz w:val="16"/>
          <w:szCs w:val="16"/>
        </w:rPr>
        <w:t xml:space="preserve"> Sobre este tópico, sugere-se a consulta à informação disponível em </w:t>
      </w:r>
      <w:hyperlink r:id="rId1" w:history="1">
        <w:r w:rsidRPr="00473B8F">
          <w:rPr>
            <w:rStyle w:val="Hiperligao"/>
            <w:sz w:val="16"/>
            <w:szCs w:val="16"/>
          </w:rPr>
          <w:t>https://www.ema.europa.eu/en/human-regulatory/post-authorisation/pharmacovigilance/good-pharmacovigilance-practices</w:t>
        </w:r>
      </w:hyperlink>
      <w:r w:rsidRPr="00473B8F">
        <w:rPr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67BE4ACF" w:rsidR="00266212" w:rsidRDefault="0037035D" w:rsidP="00266212">
    <w:pPr>
      <w:pStyle w:val="Cabealho"/>
      <w:jc w:val="right"/>
      <w:rPr>
        <w:sz w:val="16"/>
      </w:rPr>
    </w:pPr>
    <w:r>
      <w:rPr>
        <w:sz w:val="16"/>
      </w:rPr>
      <w:t>Instruções aos requerentes</w:t>
    </w:r>
    <w:r w:rsidR="00266212" w:rsidRPr="00266212">
      <w:rPr>
        <w:sz w:val="16"/>
      </w:rPr>
      <w:t xml:space="preserve"> </w:t>
    </w:r>
    <w:r w:rsidR="00DA4A0C">
      <w:rPr>
        <w:sz w:val="16"/>
      </w:rPr>
      <w:t>AIP</w:t>
    </w: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2D4026B"/>
    <w:multiLevelType w:val="hybridMultilevel"/>
    <w:tmpl w:val="39EEE8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D36415"/>
    <w:multiLevelType w:val="hybridMultilevel"/>
    <w:tmpl w:val="CC1CDEF4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3749F1"/>
    <w:multiLevelType w:val="hybridMultilevel"/>
    <w:tmpl w:val="C742E6C8"/>
    <w:lvl w:ilvl="0" w:tplc="106E97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12"/>
  </w:num>
  <w:num w:numId="14">
    <w:abstractNumId w:val="4"/>
  </w:num>
  <w:num w:numId="15">
    <w:abstractNumId w:val="7"/>
  </w:num>
  <w:num w:numId="16">
    <w:abstractNumId w:val="18"/>
  </w:num>
  <w:num w:numId="17">
    <w:abstractNumId w:val="3"/>
  </w:num>
  <w:num w:numId="18">
    <w:abstractNumId w:val="15"/>
  </w:num>
  <w:num w:numId="19">
    <w:abstractNumId w:val="11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B7457"/>
    <w:rsid w:val="000D1815"/>
    <w:rsid w:val="000E67F0"/>
    <w:rsid w:val="000E76D6"/>
    <w:rsid w:val="00113516"/>
    <w:rsid w:val="001456D8"/>
    <w:rsid w:val="0017031F"/>
    <w:rsid w:val="001D5425"/>
    <w:rsid w:val="001E2584"/>
    <w:rsid w:val="001E6787"/>
    <w:rsid w:val="00222CBB"/>
    <w:rsid w:val="0025355B"/>
    <w:rsid w:val="00266212"/>
    <w:rsid w:val="002738B7"/>
    <w:rsid w:val="002A23CC"/>
    <w:rsid w:val="002A5A36"/>
    <w:rsid w:val="002B131A"/>
    <w:rsid w:val="002F5AD4"/>
    <w:rsid w:val="00324911"/>
    <w:rsid w:val="0037035D"/>
    <w:rsid w:val="003E6474"/>
    <w:rsid w:val="003E7DA1"/>
    <w:rsid w:val="003F27CE"/>
    <w:rsid w:val="003F3F53"/>
    <w:rsid w:val="00407C69"/>
    <w:rsid w:val="00446EDB"/>
    <w:rsid w:val="00473B8F"/>
    <w:rsid w:val="004A6D18"/>
    <w:rsid w:val="004D08FB"/>
    <w:rsid w:val="005179AB"/>
    <w:rsid w:val="00522858"/>
    <w:rsid w:val="00531256"/>
    <w:rsid w:val="00564633"/>
    <w:rsid w:val="00571FDB"/>
    <w:rsid w:val="00580D48"/>
    <w:rsid w:val="005B3483"/>
    <w:rsid w:val="005D5E4C"/>
    <w:rsid w:val="005E571B"/>
    <w:rsid w:val="005F3464"/>
    <w:rsid w:val="0061376B"/>
    <w:rsid w:val="006364B3"/>
    <w:rsid w:val="00640A79"/>
    <w:rsid w:val="006470B3"/>
    <w:rsid w:val="006537F5"/>
    <w:rsid w:val="00674621"/>
    <w:rsid w:val="0069308C"/>
    <w:rsid w:val="00694DF6"/>
    <w:rsid w:val="006C19BD"/>
    <w:rsid w:val="006F09DA"/>
    <w:rsid w:val="00704E15"/>
    <w:rsid w:val="00722BCF"/>
    <w:rsid w:val="007306EC"/>
    <w:rsid w:val="00732E60"/>
    <w:rsid w:val="007425D2"/>
    <w:rsid w:val="00745F50"/>
    <w:rsid w:val="00773620"/>
    <w:rsid w:val="007B36F7"/>
    <w:rsid w:val="007F41F8"/>
    <w:rsid w:val="008104CB"/>
    <w:rsid w:val="00813CAD"/>
    <w:rsid w:val="008611E6"/>
    <w:rsid w:val="008967BC"/>
    <w:rsid w:val="008D4783"/>
    <w:rsid w:val="00967F7D"/>
    <w:rsid w:val="00975AC5"/>
    <w:rsid w:val="009776B6"/>
    <w:rsid w:val="00993FAC"/>
    <w:rsid w:val="009A13CB"/>
    <w:rsid w:val="00A14857"/>
    <w:rsid w:val="00A21190"/>
    <w:rsid w:val="00A512C1"/>
    <w:rsid w:val="00A60D59"/>
    <w:rsid w:val="00AA39A1"/>
    <w:rsid w:val="00AD19BB"/>
    <w:rsid w:val="00AF3EBB"/>
    <w:rsid w:val="00AF70A5"/>
    <w:rsid w:val="00B31490"/>
    <w:rsid w:val="00B426B0"/>
    <w:rsid w:val="00B56E14"/>
    <w:rsid w:val="00B822FF"/>
    <w:rsid w:val="00B86C7D"/>
    <w:rsid w:val="00BA2EAD"/>
    <w:rsid w:val="00BF0CCF"/>
    <w:rsid w:val="00C5299E"/>
    <w:rsid w:val="00C56102"/>
    <w:rsid w:val="00CD183F"/>
    <w:rsid w:val="00CE4F90"/>
    <w:rsid w:val="00D067D1"/>
    <w:rsid w:val="00D274CC"/>
    <w:rsid w:val="00D42807"/>
    <w:rsid w:val="00D52C3F"/>
    <w:rsid w:val="00D73F47"/>
    <w:rsid w:val="00D934B6"/>
    <w:rsid w:val="00D9627F"/>
    <w:rsid w:val="00DA4A0C"/>
    <w:rsid w:val="00DA4D40"/>
    <w:rsid w:val="00DF4981"/>
    <w:rsid w:val="00E13A7C"/>
    <w:rsid w:val="00E15942"/>
    <w:rsid w:val="00E22251"/>
    <w:rsid w:val="00E91F34"/>
    <w:rsid w:val="00EA7E71"/>
    <w:rsid w:val="00EC0330"/>
    <w:rsid w:val="00ED118E"/>
    <w:rsid w:val="00ED4320"/>
    <w:rsid w:val="00F02352"/>
    <w:rsid w:val="00F424BF"/>
    <w:rsid w:val="00F842D4"/>
    <w:rsid w:val="00FA1E10"/>
    <w:rsid w:val="00FA475E"/>
    <w:rsid w:val="00FA602C"/>
    <w:rsid w:val="00FB03C9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373545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373545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markedcontent">
    <w:name w:val="markedcontent"/>
    <w:basedOn w:val="Tipodeletrapredefinidodopargrafo"/>
    <w:rsid w:val="00E91F34"/>
  </w:style>
  <w:style w:type="character" w:styleId="Hiperligaovisitada">
    <w:name w:val="FollowedHyperlink"/>
    <w:basedOn w:val="Tipodeletrapredefinidodopargrafo"/>
    <w:uiPriority w:val="99"/>
    <w:semiHidden/>
    <w:unhideWhenUsed/>
    <w:rsid w:val="000B7457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.pt/dre/legislacao-consolidada/decreto-lei/2006-34530575" TargetMode="External"/><Relationship Id="rId13" Type="http://schemas.openxmlformats.org/officeDocument/2006/relationships/hyperlink" Target="https://www.infarmed.pt/documents/15786/2213281/GP_AIM.pdf/61e7ff3a-e15d-4de6-8f3b-e01dbe95e255" TargetMode="External"/><Relationship Id="rId18" Type="http://schemas.openxmlformats.org/officeDocument/2006/relationships/hyperlink" Target="mailto:revogacao.aim@infarmed.p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re.pt/dre/legislacao-consolidada/portaria/2015-75740818" TargetMode="External"/><Relationship Id="rId17" Type="http://schemas.openxmlformats.org/officeDocument/2006/relationships/hyperlink" Target="https://extranet.infarmed.pt/smuhalter/login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tranet.infarmed.pt/smuhalter/login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armed.pt/documents/15786/17838/144_DAM_91.pdf/ac058934-65cb-4cfd-b82f-9c9290fb2d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alth.ec.europa.eu/medicinal-products/falsified-medicines_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farmed.pt/documents/15786/7836278/Requerimento+de+pedido+de+AIP/a2db386b-e2c0-a1d8-34d6-399f59037687?version=1.0" TargetMode="External"/><Relationship Id="rId19" Type="http://schemas.openxmlformats.org/officeDocument/2006/relationships/hyperlink" Target="https://www.infarmed.pt/web/infarmed/entidades/medicamentos-uso-humano/autorizacao-de-introducao-no-mercado/revogacao-ai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portacoes.paralelas@infarmed.pt" TargetMode="External"/><Relationship Id="rId14" Type="http://schemas.openxmlformats.org/officeDocument/2006/relationships/hyperlink" Target="https://www.infarmed.pt/documents/15786/1672954/Perguntas+frequentes+relativas+a+dispositivos+de+seguran%C3%A7a_v2/f263e651-7f23-481a-9425-6de2cf5b3ecf?version=1.0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human-regulatory/post-authorisation/pharmacovigilance/good-pharmacovigilance-practices" TargetMode="External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969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Laura Leite</cp:lastModifiedBy>
  <cp:revision>18</cp:revision>
  <cp:lastPrinted>2022-11-11T09:49:00Z</cp:lastPrinted>
  <dcterms:created xsi:type="dcterms:W3CDTF">2022-11-03T11:55:00Z</dcterms:created>
  <dcterms:modified xsi:type="dcterms:W3CDTF">2022-12-07T11:23:00Z</dcterms:modified>
</cp:coreProperties>
</file>