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02F67" w14:textId="5BF4BBCA" w:rsidR="00493725" w:rsidRPr="00A530FA" w:rsidRDefault="00493725" w:rsidP="0049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8E5"/>
        <w:spacing w:after="0"/>
        <w:ind w:left="-567" w:right="-285"/>
        <w:jc w:val="center"/>
        <w:rPr>
          <w:rStyle w:val="jsgrdq"/>
          <w:b/>
          <w:color w:val="44546A" w:themeColor="text2"/>
        </w:rPr>
      </w:pPr>
      <w:r w:rsidRPr="00A530FA">
        <w:rPr>
          <w:rStyle w:val="jsgrdq"/>
          <w:b/>
          <w:color w:val="44546A" w:themeColor="text2"/>
        </w:rPr>
        <w:t>Vacinas COVID-19 - relatório sobre n</w:t>
      </w:r>
      <w:r w:rsidR="00FA66B1" w:rsidRPr="00A530FA">
        <w:rPr>
          <w:rStyle w:val="jsgrdq"/>
          <w:b/>
          <w:color w:val="44546A" w:themeColor="text2"/>
        </w:rPr>
        <w:t>otificações de suspeita</w:t>
      </w:r>
      <w:r w:rsidRPr="00A530FA">
        <w:rPr>
          <w:rStyle w:val="jsgrdq"/>
          <w:b/>
          <w:color w:val="44546A" w:themeColor="text2"/>
        </w:rPr>
        <w:t>s</w:t>
      </w:r>
      <w:r w:rsidR="00FA66B1" w:rsidRPr="00A530FA">
        <w:rPr>
          <w:rStyle w:val="jsgrdq"/>
          <w:b/>
          <w:color w:val="44546A" w:themeColor="text2"/>
        </w:rPr>
        <w:t xml:space="preserve"> de reações adversas </w:t>
      </w:r>
    </w:p>
    <w:p w14:paraId="50ECE603" w14:textId="5DB26F7E" w:rsidR="00037847" w:rsidRPr="00037847" w:rsidRDefault="00493725" w:rsidP="0003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8E5"/>
        <w:spacing w:after="0"/>
        <w:ind w:left="-567" w:right="-285"/>
        <w:jc w:val="center"/>
        <w:rPr>
          <w:rStyle w:val="jsgrdq"/>
          <w:b/>
          <w:color w:val="44546A" w:themeColor="text2"/>
        </w:rPr>
      </w:pPr>
      <w:r w:rsidRPr="00A530FA">
        <w:rPr>
          <w:rStyle w:val="jsgrdq"/>
          <w:b/>
          <w:color w:val="44546A" w:themeColor="text2"/>
        </w:rPr>
        <w:t xml:space="preserve">(dados cumulativos de 27 de dezembro a </w:t>
      </w:r>
      <w:r w:rsidR="00A36319">
        <w:rPr>
          <w:rStyle w:val="jsgrdq"/>
          <w:b/>
          <w:color w:val="44546A" w:themeColor="text2"/>
        </w:rPr>
        <w:t>15</w:t>
      </w:r>
      <w:r w:rsidR="00FA66B1" w:rsidRPr="00A530FA">
        <w:rPr>
          <w:rStyle w:val="jsgrdq"/>
          <w:b/>
          <w:color w:val="44546A" w:themeColor="text2"/>
        </w:rPr>
        <w:t xml:space="preserve"> de </w:t>
      </w:r>
      <w:r w:rsidR="00BC14E3">
        <w:rPr>
          <w:rStyle w:val="jsgrdq"/>
          <w:b/>
          <w:color w:val="44546A" w:themeColor="text2"/>
        </w:rPr>
        <w:t>abril</w:t>
      </w:r>
      <w:r w:rsidRPr="00A530FA">
        <w:rPr>
          <w:rStyle w:val="jsgrdq"/>
          <w:b/>
          <w:color w:val="44546A" w:themeColor="text2"/>
        </w:rPr>
        <w:t>)</w:t>
      </w:r>
    </w:p>
    <w:p w14:paraId="30BA95B2" w14:textId="75ED216D" w:rsidR="00FA66B1" w:rsidRPr="00FA66B1" w:rsidRDefault="00B941B1" w:rsidP="00037847">
      <w:pPr>
        <w:spacing w:before="240" w:after="120"/>
        <w:ind w:left="-709"/>
        <w:rPr>
          <w:rStyle w:val="jsgrdq"/>
          <w:b/>
          <w:bCs/>
          <w:color w:val="5F3B77"/>
          <w:sz w:val="24"/>
        </w:rPr>
      </w:pPr>
      <w:r>
        <w:rPr>
          <w:rStyle w:val="jsgrdq"/>
          <w:b/>
          <w:bCs/>
          <w:color w:val="5F3B77"/>
          <w:sz w:val="24"/>
        </w:rPr>
        <w:t xml:space="preserve">Números globais </w:t>
      </w:r>
    </w:p>
    <w:p w14:paraId="010DAE07" w14:textId="2528416B" w:rsidR="00B941B1" w:rsidRDefault="00A36319" w:rsidP="00037847">
      <w:pPr>
        <w:spacing w:after="120"/>
        <w:ind w:left="-709" w:right="4109"/>
        <w:jc w:val="both"/>
        <w:rPr>
          <w:rStyle w:val="jsgrdq"/>
          <w:color w:val="252E4A"/>
        </w:rPr>
      </w:pPr>
      <w:r>
        <w:rPr>
          <w:noProof/>
          <w:color w:val="252E4A"/>
        </w:rPr>
        <w:drawing>
          <wp:anchor distT="0" distB="0" distL="114300" distR="114300" simplePos="0" relativeHeight="251672576" behindDoc="1" locked="0" layoutInCell="1" allowOverlap="1" wp14:anchorId="5A8001E1" wp14:editId="3165EA9B">
            <wp:simplePos x="0" y="0"/>
            <wp:positionH relativeFrom="margin">
              <wp:posOffset>2543175</wp:posOffset>
            </wp:positionH>
            <wp:positionV relativeFrom="paragraph">
              <wp:posOffset>7620</wp:posOffset>
            </wp:positionV>
            <wp:extent cx="320675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29" y="21506"/>
                <wp:lineTo x="2142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66B1">
        <w:rPr>
          <w:rStyle w:val="jsgrdq"/>
          <w:color w:val="252E4A"/>
        </w:rPr>
        <w:t xml:space="preserve">O INFARMED, I.P., através do Sistema Nacional de Farmacovigilância (SNF) recebeu um total de </w:t>
      </w:r>
      <w:r w:rsidR="009506AA">
        <w:rPr>
          <w:rStyle w:val="jsgrdq"/>
          <w:color w:val="252E4A"/>
        </w:rPr>
        <w:t>4</w:t>
      </w:r>
      <w:r>
        <w:rPr>
          <w:rStyle w:val="jsgrdq"/>
          <w:color w:val="252E4A"/>
        </w:rPr>
        <w:t>387</w:t>
      </w:r>
      <w:r w:rsidR="00FA66B1">
        <w:rPr>
          <w:rStyle w:val="jsgrdq"/>
          <w:color w:val="252E4A"/>
        </w:rPr>
        <w:t xml:space="preserve"> Notificações de</w:t>
      </w:r>
      <w:r w:rsidR="00063429">
        <w:rPr>
          <w:rStyle w:val="jsgrdq"/>
          <w:color w:val="252E4A"/>
        </w:rPr>
        <w:t xml:space="preserve"> RAM relacionadas com as vacinas contra a COVID-19</w:t>
      </w:r>
      <w:r w:rsidR="00B941B1">
        <w:rPr>
          <w:rStyle w:val="jsgrdq"/>
          <w:color w:val="252E4A"/>
        </w:rPr>
        <w:t xml:space="preserve"> (para um total</w:t>
      </w:r>
      <w:r w:rsidR="00FA66B1">
        <w:rPr>
          <w:rStyle w:val="jsgrdq"/>
          <w:color w:val="252E4A"/>
        </w:rPr>
        <w:t xml:space="preserve"> de </w:t>
      </w:r>
      <w:r w:rsidR="009506AA">
        <w:rPr>
          <w:rStyle w:val="jsgrdq"/>
          <w:color w:val="252E4A"/>
        </w:rPr>
        <w:t>2 </w:t>
      </w:r>
      <w:r>
        <w:rPr>
          <w:rStyle w:val="jsgrdq"/>
          <w:color w:val="252E4A"/>
        </w:rPr>
        <w:t>334</w:t>
      </w:r>
      <w:r w:rsidR="009506AA">
        <w:rPr>
          <w:rStyle w:val="jsgrdq"/>
          <w:color w:val="252E4A"/>
        </w:rPr>
        <w:t xml:space="preserve"> </w:t>
      </w:r>
      <w:r>
        <w:rPr>
          <w:rStyle w:val="jsgrdq"/>
          <w:color w:val="252E4A"/>
        </w:rPr>
        <w:t>345</w:t>
      </w:r>
      <w:r w:rsidR="00FA66B1">
        <w:rPr>
          <w:rStyle w:val="jsgrdq"/>
          <w:color w:val="252E4A"/>
        </w:rPr>
        <w:t xml:space="preserve"> </w:t>
      </w:r>
      <w:r w:rsidR="00B941B1">
        <w:rPr>
          <w:rStyle w:val="jsgrdq"/>
          <w:color w:val="252E4A"/>
        </w:rPr>
        <w:t xml:space="preserve">doses de </w:t>
      </w:r>
      <w:r w:rsidR="00FA66B1">
        <w:rPr>
          <w:rStyle w:val="jsgrdq"/>
          <w:color w:val="252E4A"/>
        </w:rPr>
        <w:t>vacina administradas</w:t>
      </w:r>
      <w:r w:rsidR="00B941B1">
        <w:rPr>
          <w:rStyle w:val="jsgrdq"/>
          <w:color w:val="252E4A"/>
        </w:rPr>
        <w:t>)</w:t>
      </w:r>
      <w:r w:rsidR="00FA66B1">
        <w:rPr>
          <w:rStyle w:val="jsgrdq"/>
          <w:color w:val="252E4A"/>
        </w:rPr>
        <w:t xml:space="preserve">. </w:t>
      </w:r>
    </w:p>
    <w:p w14:paraId="297FDF67" w14:textId="06262E59" w:rsidR="00493725" w:rsidRPr="00493725" w:rsidRDefault="00B941B1" w:rsidP="00037847">
      <w:pPr>
        <w:spacing w:after="120"/>
        <w:ind w:left="-709" w:right="4109"/>
        <w:jc w:val="both"/>
        <w:rPr>
          <w:rStyle w:val="jsgrdq"/>
          <w:noProof/>
        </w:rPr>
      </w:pPr>
      <w:r>
        <w:rPr>
          <w:rStyle w:val="jsgrdq"/>
          <w:color w:val="252E4A"/>
        </w:rPr>
        <w:t>As RAM mais notificadas foram</w:t>
      </w:r>
      <w:r w:rsidR="00A36319">
        <w:rPr>
          <w:rStyle w:val="jsgrdq"/>
          <w:color w:val="252E4A"/>
        </w:rPr>
        <w:t xml:space="preserve"> </w:t>
      </w:r>
      <w:r w:rsidR="009506AA">
        <w:rPr>
          <w:rStyle w:val="jsgrdq"/>
          <w:color w:val="252E4A"/>
        </w:rPr>
        <w:t>dores musculares/articulações,</w:t>
      </w:r>
      <w:r w:rsidR="00A36319">
        <w:rPr>
          <w:rStyle w:val="jsgrdq"/>
          <w:color w:val="252E4A"/>
        </w:rPr>
        <w:t xml:space="preserve"> reação no local de injeção, </w:t>
      </w:r>
      <w:r>
        <w:rPr>
          <w:rStyle w:val="jsgrdq"/>
          <w:color w:val="252E4A"/>
        </w:rPr>
        <w:t xml:space="preserve">cefaleias, </w:t>
      </w:r>
      <w:r w:rsidR="0006405B">
        <w:rPr>
          <w:rStyle w:val="jsgrdq"/>
          <w:color w:val="252E4A"/>
        </w:rPr>
        <w:t>febre, astenia</w:t>
      </w:r>
      <w:r w:rsidR="00FD7B80">
        <w:rPr>
          <w:rStyle w:val="jsgrdq"/>
          <w:color w:val="252E4A"/>
        </w:rPr>
        <w:t xml:space="preserve">/ fraqueza/fadiga, náuseas, tremores, </w:t>
      </w:r>
      <w:proofErr w:type="spellStart"/>
      <w:r w:rsidR="009506AA">
        <w:rPr>
          <w:rStyle w:val="jsgrdq"/>
          <w:color w:val="252E4A"/>
        </w:rPr>
        <w:t>linfadenopatia</w:t>
      </w:r>
      <w:proofErr w:type="spellEnd"/>
      <w:r w:rsidR="009506AA">
        <w:rPr>
          <w:rStyle w:val="jsgrdq"/>
          <w:color w:val="252E4A"/>
        </w:rPr>
        <w:t xml:space="preserve">, </w:t>
      </w:r>
      <w:r w:rsidR="00FD7B80">
        <w:rPr>
          <w:rStyle w:val="jsgrdq"/>
          <w:color w:val="252E4A"/>
        </w:rPr>
        <w:t>parestesias</w:t>
      </w:r>
      <w:r w:rsidR="00FE7BA2">
        <w:rPr>
          <w:rStyle w:val="jsgrdq"/>
          <w:color w:val="252E4A"/>
        </w:rPr>
        <w:t xml:space="preserve"> e </w:t>
      </w:r>
      <w:r w:rsidR="009506AA">
        <w:rPr>
          <w:rStyle w:val="jsgrdq"/>
          <w:color w:val="252E4A"/>
        </w:rPr>
        <w:t>eritema/eczema/</w:t>
      </w:r>
      <w:proofErr w:type="spellStart"/>
      <w:r w:rsidR="009506AA">
        <w:rPr>
          <w:rStyle w:val="jsgrdq"/>
          <w:color w:val="252E4A"/>
        </w:rPr>
        <w:t>rash</w:t>
      </w:r>
      <w:proofErr w:type="spellEnd"/>
      <w:r>
        <w:rPr>
          <w:rStyle w:val="jsgrdq"/>
          <w:color w:val="252E4A"/>
        </w:rPr>
        <w:t xml:space="preserve"> (</w:t>
      </w:r>
      <w:r w:rsidR="00FA66B1">
        <w:rPr>
          <w:rStyle w:val="jsgrdq"/>
          <w:color w:val="252E4A"/>
        </w:rPr>
        <w:t>gráfico 1</w:t>
      </w:r>
      <w:r>
        <w:rPr>
          <w:rStyle w:val="jsgrdq"/>
          <w:color w:val="252E4A"/>
        </w:rPr>
        <w:t>)</w:t>
      </w:r>
      <w:r w:rsidR="004D6974">
        <w:rPr>
          <w:rStyle w:val="jsgrdq"/>
          <w:color w:val="252E4A"/>
        </w:rPr>
        <w:t>.</w:t>
      </w:r>
      <w:r w:rsidR="00C6074A" w:rsidRPr="00C6074A">
        <w:rPr>
          <w:noProof/>
        </w:rPr>
        <w:t xml:space="preserve"> </w:t>
      </w:r>
    </w:p>
    <w:p w14:paraId="36644AA6" w14:textId="3AC250B5" w:rsidR="004D6974" w:rsidRDefault="004D6974" w:rsidP="00037847">
      <w:pPr>
        <w:spacing w:after="120"/>
        <w:ind w:left="-709" w:right="4109"/>
        <w:jc w:val="both"/>
        <w:rPr>
          <w:rStyle w:val="jsgrdq"/>
          <w:color w:val="252E4A"/>
        </w:rPr>
      </w:pPr>
      <w:r>
        <w:rPr>
          <w:rStyle w:val="jsgrdq"/>
          <w:color w:val="252E4A"/>
        </w:rPr>
        <w:t xml:space="preserve">Do total de notificações, </w:t>
      </w:r>
      <w:r w:rsidR="00A36319">
        <w:rPr>
          <w:rStyle w:val="jsgrdq"/>
          <w:color w:val="252E4A"/>
        </w:rPr>
        <w:t>2425</w:t>
      </w:r>
      <w:r>
        <w:rPr>
          <w:rStyle w:val="jsgrdq"/>
          <w:color w:val="252E4A"/>
        </w:rPr>
        <w:t xml:space="preserve"> foram consideradas não graves e </w:t>
      </w:r>
      <w:r w:rsidR="00A36319">
        <w:rPr>
          <w:rStyle w:val="jsgrdq"/>
          <w:color w:val="252E4A"/>
        </w:rPr>
        <w:t>1962</w:t>
      </w:r>
      <w:r>
        <w:rPr>
          <w:rStyle w:val="jsgrdq"/>
          <w:color w:val="252E4A"/>
        </w:rPr>
        <w:t xml:space="preserve"> graves. </w:t>
      </w:r>
    </w:p>
    <w:p w14:paraId="4B62AC7A" w14:textId="137C8779" w:rsidR="002B0599" w:rsidRDefault="004D6974" w:rsidP="000603AE">
      <w:pPr>
        <w:spacing w:after="120"/>
        <w:ind w:left="-709" w:right="-427"/>
        <w:jc w:val="both"/>
        <w:rPr>
          <w:rStyle w:val="jsgrdq"/>
          <w:color w:val="252E4A"/>
        </w:rPr>
      </w:pPr>
      <w:r>
        <w:rPr>
          <w:rStyle w:val="jsgrdq"/>
          <w:color w:val="252E4A"/>
        </w:rPr>
        <w:t xml:space="preserve">Até ao </w:t>
      </w:r>
      <w:r w:rsidRPr="004D6974">
        <w:rPr>
          <w:rStyle w:val="jsgrdq"/>
          <w:color w:val="252E4A"/>
        </w:rPr>
        <w:t>momento</w:t>
      </w:r>
      <w:r>
        <w:rPr>
          <w:rStyle w:val="jsgrdq"/>
          <w:color w:val="252E4A"/>
        </w:rPr>
        <w:t xml:space="preserve"> foram registados </w:t>
      </w:r>
      <w:r w:rsidR="00A36319">
        <w:rPr>
          <w:rStyle w:val="jsgrdq"/>
          <w:color w:val="252E4A"/>
        </w:rPr>
        <w:t>2</w:t>
      </w:r>
      <w:r w:rsidR="00F67022">
        <w:rPr>
          <w:rStyle w:val="jsgrdq"/>
          <w:color w:val="252E4A"/>
        </w:rPr>
        <w:t>8</w:t>
      </w:r>
      <w:r>
        <w:rPr>
          <w:rStyle w:val="jsgrdq"/>
          <w:color w:val="252E4A"/>
        </w:rPr>
        <w:t xml:space="preserve"> casos fatais ocorridos após a vacinação, maioritariamente em idosos (média de idades = </w:t>
      </w:r>
      <w:r w:rsidR="001269E7">
        <w:rPr>
          <w:rStyle w:val="jsgrdq"/>
          <w:color w:val="252E4A"/>
        </w:rPr>
        <w:t>7</w:t>
      </w:r>
      <w:r w:rsidR="00A36319">
        <w:rPr>
          <w:rStyle w:val="jsgrdq"/>
          <w:color w:val="252E4A"/>
        </w:rPr>
        <w:t>9</w:t>
      </w:r>
      <w:bookmarkStart w:id="0" w:name="_GoBack"/>
      <w:bookmarkEnd w:id="0"/>
      <w:r w:rsidR="009506AA">
        <w:rPr>
          <w:rStyle w:val="jsgrdq"/>
          <w:color w:val="252E4A"/>
        </w:rPr>
        <w:t>,</w:t>
      </w:r>
      <w:r w:rsidR="00A36319">
        <w:rPr>
          <w:rStyle w:val="jsgrdq"/>
          <w:color w:val="252E4A"/>
        </w:rPr>
        <w:t>70</w:t>
      </w:r>
      <w:r>
        <w:rPr>
          <w:rStyle w:val="jsgrdq"/>
          <w:color w:val="252E4A"/>
        </w:rPr>
        <w:t xml:space="preserve"> anos). Muitos indivíduos deste grupo etário de vacinados apresentam condições de saúde mais frágeis (alguns com diversas </w:t>
      </w:r>
      <w:proofErr w:type="spellStart"/>
      <w:r>
        <w:rPr>
          <w:rStyle w:val="jsgrdq"/>
          <w:color w:val="252E4A"/>
        </w:rPr>
        <w:t>comorbilidades</w:t>
      </w:r>
      <w:proofErr w:type="spellEnd"/>
      <w:r>
        <w:rPr>
          <w:rStyle w:val="jsgrdq"/>
          <w:color w:val="252E4A"/>
        </w:rPr>
        <w:t>). A</w:t>
      </w:r>
      <w:r w:rsidRPr="004D6974">
        <w:rPr>
          <w:rStyle w:val="jsgrdq"/>
          <w:color w:val="252E4A"/>
        </w:rPr>
        <w:t xml:space="preserve"> vacinação contra COVID-19 </w:t>
      </w:r>
      <w:r>
        <w:rPr>
          <w:rStyle w:val="jsgrdq"/>
          <w:color w:val="252E4A"/>
        </w:rPr>
        <w:t xml:space="preserve">nestes grupos </w:t>
      </w:r>
      <w:r w:rsidRPr="004D6974">
        <w:rPr>
          <w:rStyle w:val="jsgrdq"/>
          <w:color w:val="252E4A"/>
        </w:rPr>
        <w:t>não reduzirá as mortes por outras causas</w:t>
      </w:r>
      <w:r>
        <w:rPr>
          <w:rStyle w:val="jsgrdq"/>
          <w:color w:val="252E4A"/>
        </w:rPr>
        <w:t xml:space="preserve">, que </w:t>
      </w:r>
      <w:r w:rsidRPr="004D6974">
        <w:rPr>
          <w:rStyle w:val="jsgrdq"/>
          <w:color w:val="252E4A"/>
        </w:rPr>
        <w:t>continuarão a ocorrer</w:t>
      </w:r>
      <w:r>
        <w:rPr>
          <w:rStyle w:val="jsgrdq"/>
          <w:color w:val="252E4A"/>
        </w:rPr>
        <w:t>.</w:t>
      </w:r>
      <w:r w:rsidRPr="004D6974">
        <w:rPr>
          <w:rStyle w:val="jsgrdq"/>
          <w:color w:val="252E4A"/>
        </w:rPr>
        <w:t xml:space="preserve"> </w:t>
      </w:r>
    </w:p>
    <w:p w14:paraId="2B65D7AB" w14:textId="15E524B9" w:rsidR="000603AE" w:rsidRDefault="000603AE" w:rsidP="000603AE">
      <w:pPr>
        <w:spacing w:after="120"/>
        <w:ind w:left="-709" w:right="-427"/>
        <w:jc w:val="both"/>
        <w:rPr>
          <w:rStyle w:val="jsgrdq"/>
          <w:color w:val="252E4A"/>
        </w:rPr>
      </w:pPr>
      <w:r w:rsidRPr="002B0599">
        <w:rPr>
          <w:rStyle w:val="jsgrdq"/>
          <w:b/>
          <w:bCs/>
          <w:noProof/>
          <w:color w:val="5F3B77"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230B7E" wp14:editId="7941A4F7">
                <wp:simplePos x="0" y="0"/>
                <wp:positionH relativeFrom="page">
                  <wp:posOffset>546100</wp:posOffset>
                </wp:positionH>
                <wp:positionV relativeFrom="paragraph">
                  <wp:posOffset>7620</wp:posOffset>
                </wp:positionV>
                <wp:extent cx="6646545" cy="828675"/>
                <wp:effectExtent l="0" t="0" r="20955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828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4A68" w14:textId="3892D458" w:rsidR="002B0599" w:rsidRDefault="002B0599" w:rsidP="002B0599">
                            <w:pPr>
                              <w:jc w:val="center"/>
                            </w:pPr>
                            <w:r>
                              <w:t xml:space="preserve"> Em relação à Vacina da AstraZeneca, a</w:t>
                            </w:r>
                            <w:r w:rsidRPr="002B0599">
                              <w:t xml:space="preserve"> informação de segurança está, na generalidade, em linha com o perfil de segurança conhecido. Em resultado da última avaliação determinou-se a inclusão de casos muito raros de trombose em combinação com trombocitopenia no RCM.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30B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pt;margin-top:.6pt;width:523.35pt;height:6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" fillcolor="#fff2cc [663]">
                <v:textbox>
                  <w:txbxContent>
                    <w:p w14:paraId="3E864A68" w14:textId="3892D458" w:rsidR="002B0599" w:rsidRDefault="002B0599" w:rsidP="002B0599">
                      <w:pPr>
                        <w:jc w:val="center"/>
                      </w:pPr>
                      <w:r>
                        <w:t xml:space="preserve"> Em relação à Vacina da AstraZeneca, a</w:t>
                      </w:r>
                      <w:r w:rsidRPr="002B0599">
                        <w:t xml:space="preserve"> informação de segurança está, na generalidade, em linha com o perfil de segurança conhecido. Em resultado da última avaliação determinou-se a inclusão de casos muito raros de trombose em combinação com trombocitopenia no RCM.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2651D1" w14:textId="17851831" w:rsidR="000603AE" w:rsidRPr="002B0599" w:rsidRDefault="000603AE" w:rsidP="000603AE">
      <w:pPr>
        <w:spacing w:after="120"/>
        <w:ind w:left="-709" w:right="-427"/>
        <w:jc w:val="both"/>
        <w:rPr>
          <w:rStyle w:val="jsgrdq"/>
          <w:color w:val="252E4A"/>
        </w:rPr>
      </w:pPr>
    </w:p>
    <w:p w14:paraId="64A26D0A" w14:textId="5117B770" w:rsidR="00DA28CF" w:rsidRDefault="00DA28CF" w:rsidP="00037847">
      <w:pPr>
        <w:spacing w:before="240" w:after="120"/>
        <w:ind w:left="-709"/>
        <w:rPr>
          <w:rStyle w:val="jsgrdq"/>
          <w:b/>
          <w:bCs/>
          <w:color w:val="5F3B77"/>
          <w:sz w:val="24"/>
        </w:rPr>
      </w:pPr>
      <w:r>
        <w:rPr>
          <w:rStyle w:val="jsgrdq"/>
          <w:b/>
          <w:bCs/>
          <w:color w:val="5F3B77"/>
          <w:sz w:val="24"/>
        </w:rPr>
        <w:t xml:space="preserve">Participação no SNF </w:t>
      </w:r>
    </w:p>
    <w:p w14:paraId="4B4877F6" w14:textId="77777777" w:rsidR="000603AE" w:rsidRDefault="000603AE" w:rsidP="00A36319">
      <w:pPr>
        <w:spacing w:line="240" w:lineRule="auto"/>
        <w:ind w:left="-709" w:right="-285"/>
        <w:jc w:val="both"/>
        <w:rPr>
          <w:color w:val="252E4A"/>
        </w:rPr>
      </w:pPr>
    </w:p>
    <w:p w14:paraId="3CC8A8C9" w14:textId="73E8F694" w:rsidR="00A36319" w:rsidRPr="00A36319" w:rsidRDefault="00A36319" w:rsidP="00A36319">
      <w:pPr>
        <w:spacing w:line="240" w:lineRule="auto"/>
        <w:ind w:left="-709" w:right="-285"/>
        <w:jc w:val="both"/>
        <w:rPr>
          <w:rStyle w:val="jsgrdq"/>
          <w:color w:val="252E4A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B7876D2" wp14:editId="7C58CC1B">
            <wp:simplePos x="0" y="0"/>
            <wp:positionH relativeFrom="margin">
              <wp:posOffset>-426085</wp:posOffset>
            </wp:positionH>
            <wp:positionV relativeFrom="paragraph">
              <wp:posOffset>528320</wp:posOffset>
            </wp:positionV>
            <wp:extent cx="6235700" cy="1238250"/>
            <wp:effectExtent l="0" t="0" r="12700" b="0"/>
            <wp:wrapTight wrapText="bothSides">
              <wp:wrapPolygon edited="0">
                <wp:start x="0" y="0"/>
                <wp:lineTo x="0" y="21268"/>
                <wp:lineTo x="21578" y="21268"/>
                <wp:lineTo x="21578" y="0"/>
                <wp:lineTo x="0" y="0"/>
              </wp:wrapPolygon>
            </wp:wrapTight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F6507B7-4D3E-4E4D-9173-CF7D2FAE1C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="00DA28CF">
        <w:rPr>
          <w:color w:val="252E4A"/>
        </w:rPr>
        <w:t xml:space="preserve">Tem sido observado um crescimento </w:t>
      </w:r>
      <w:r>
        <w:rPr>
          <w:color w:val="252E4A"/>
        </w:rPr>
        <w:t>significativo</w:t>
      </w:r>
      <w:r w:rsidR="00DA28CF">
        <w:rPr>
          <w:color w:val="252E4A"/>
        </w:rPr>
        <w:t xml:space="preserve"> das notificações rececionadas</w:t>
      </w:r>
      <w:r w:rsidR="004971F6">
        <w:rPr>
          <w:color w:val="252E4A"/>
        </w:rPr>
        <w:t xml:space="preserve"> (gráfico nº 2).</w:t>
      </w:r>
      <w:r w:rsidR="00C6074A">
        <w:rPr>
          <w:color w:val="252E4A"/>
        </w:rPr>
        <w:t xml:space="preserve"> </w:t>
      </w:r>
      <w:r w:rsidR="004971F6">
        <w:rPr>
          <w:color w:val="252E4A"/>
        </w:rPr>
        <w:t xml:space="preserve">A maioria dos casos são relatados </w:t>
      </w:r>
      <w:r w:rsidR="00DA28CF" w:rsidRPr="006D375C">
        <w:rPr>
          <w:color w:val="252E4A"/>
        </w:rPr>
        <w:t xml:space="preserve">por </w:t>
      </w:r>
      <w:r w:rsidR="001F1FC3">
        <w:rPr>
          <w:color w:val="252E4A"/>
        </w:rPr>
        <w:t>profissionais de saúde</w:t>
      </w:r>
      <w:r w:rsidR="00DA28CF" w:rsidRPr="006D375C">
        <w:rPr>
          <w:color w:val="252E4A"/>
        </w:rPr>
        <w:t xml:space="preserve"> (</w:t>
      </w:r>
      <w:r w:rsidR="006D375C" w:rsidRPr="006D375C">
        <w:rPr>
          <w:color w:val="252E4A"/>
        </w:rPr>
        <w:t>8</w:t>
      </w:r>
      <w:r>
        <w:rPr>
          <w:color w:val="252E4A"/>
        </w:rPr>
        <w:t>5</w:t>
      </w:r>
      <w:r w:rsidR="00DA28CF" w:rsidRPr="006D375C">
        <w:rPr>
          <w:color w:val="252E4A"/>
        </w:rPr>
        <w:t>%).</w:t>
      </w:r>
      <w:r w:rsidR="00DA28CF">
        <w:rPr>
          <w:color w:val="252E4A"/>
        </w:rPr>
        <w:t xml:space="preserve"> No entanto</w:t>
      </w:r>
      <w:r w:rsidR="004971F6">
        <w:rPr>
          <w:color w:val="252E4A"/>
        </w:rPr>
        <w:t xml:space="preserve">, </w:t>
      </w:r>
      <w:r w:rsidR="00DA28CF">
        <w:rPr>
          <w:color w:val="252E4A"/>
        </w:rPr>
        <w:t xml:space="preserve">o contributo dos </w:t>
      </w:r>
      <w:r w:rsidR="00DA28CF" w:rsidRPr="006D375C">
        <w:rPr>
          <w:color w:val="252E4A"/>
        </w:rPr>
        <w:t>cidadãos (</w:t>
      </w:r>
      <w:r w:rsidR="006D375C" w:rsidRPr="006D375C">
        <w:rPr>
          <w:color w:val="252E4A"/>
        </w:rPr>
        <w:t>1</w:t>
      </w:r>
      <w:r>
        <w:rPr>
          <w:color w:val="252E4A"/>
        </w:rPr>
        <w:t>5</w:t>
      </w:r>
      <w:r w:rsidR="00DA28CF" w:rsidRPr="006D375C">
        <w:rPr>
          <w:color w:val="252E4A"/>
        </w:rPr>
        <w:t>%)</w:t>
      </w:r>
      <w:r w:rsidR="00DA28CF">
        <w:rPr>
          <w:color w:val="252E4A"/>
        </w:rPr>
        <w:t xml:space="preserve"> tem vindo aumentar.</w:t>
      </w:r>
    </w:p>
    <w:p w14:paraId="02363D11" w14:textId="5A546497" w:rsidR="009506AA" w:rsidRPr="00C54417" w:rsidRDefault="00FA66B1" w:rsidP="00C54417">
      <w:pPr>
        <w:spacing w:line="240" w:lineRule="auto"/>
        <w:ind w:left="-709" w:right="-285"/>
        <w:jc w:val="both"/>
        <w:rPr>
          <w:rStyle w:val="jsgrdq"/>
          <w:noProof/>
        </w:rPr>
      </w:pPr>
      <w:r w:rsidRPr="00FA66B1">
        <w:rPr>
          <w:rStyle w:val="jsgrdq"/>
          <w:b/>
          <w:bCs/>
          <w:color w:val="5F3B77"/>
          <w:sz w:val="24"/>
        </w:rPr>
        <w:t>Cooperação internacional</w:t>
      </w:r>
    </w:p>
    <w:p w14:paraId="27CE0C22" w14:textId="629A831E" w:rsidR="009506AA" w:rsidRDefault="00FA66B1" w:rsidP="009506AA">
      <w:pPr>
        <w:spacing w:line="240" w:lineRule="auto"/>
        <w:ind w:left="-709" w:right="-285"/>
        <w:jc w:val="both"/>
        <w:rPr>
          <w:rStyle w:val="jsgrdq"/>
          <w:color w:val="252E4A"/>
        </w:rPr>
      </w:pPr>
      <w:r>
        <w:rPr>
          <w:rStyle w:val="jsgrdq"/>
          <w:color w:val="252E4A"/>
        </w:rPr>
        <w:t xml:space="preserve">Os casos de reação adversa associados à vacinação são </w:t>
      </w:r>
      <w:r w:rsidR="00DA28CF">
        <w:rPr>
          <w:rStyle w:val="jsgrdq"/>
          <w:color w:val="252E4A"/>
        </w:rPr>
        <w:t xml:space="preserve">avaliados pelo SNF (Unidades regionais e Infarmed) e transmitidos para a base de dados europeia sedeada na </w:t>
      </w:r>
      <w:r>
        <w:rPr>
          <w:rStyle w:val="jsgrdq"/>
          <w:color w:val="252E4A"/>
        </w:rPr>
        <w:t>Agência Europeia do Medicamento</w:t>
      </w:r>
      <w:r w:rsidR="00DA28CF">
        <w:rPr>
          <w:rStyle w:val="jsgrdq"/>
          <w:color w:val="252E4A"/>
        </w:rPr>
        <w:t>. Posteriormente são partilhados com</w:t>
      </w:r>
      <w:r>
        <w:rPr>
          <w:rStyle w:val="jsgrdq"/>
          <w:color w:val="252E4A"/>
        </w:rPr>
        <w:t xml:space="preserve"> a Organização Mundial da Saúde (OMS).</w:t>
      </w:r>
    </w:p>
    <w:p w14:paraId="184450EA" w14:textId="1E2D1C75" w:rsidR="00A36319" w:rsidRDefault="00DA28CF" w:rsidP="00A36319">
      <w:pPr>
        <w:spacing w:line="240" w:lineRule="auto"/>
        <w:ind w:left="-709" w:right="-285"/>
        <w:jc w:val="both"/>
        <w:rPr>
          <w:color w:val="252E4A"/>
        </w:rPr>
      </w:pPr>
      <w:r>
        <w:rPr>
          <w:rStyle w:val="jsgrdq"/>
          <w:color w:val="252E4A"/>
        </w:rPr>
        <w:t xml:space="preserve">Esta integração de informação permite uma </w:t>
      </w:r>
      <w:r w:rsidR="004971F6">
        <w:rPr>
          <w:rStyle w:val="jsgrdq"/>
          <w:color w:val="252E4A"/>
        </w:rPr>
        <w:t>avaliação</w:t>
      </w:r>
      <w:r>
        <w:rPr>
          <w:rStyle w:val="jsgrdq"/>
          <w:color w:val="252E4A"/>
        </w:rPr>
        <w:t xml:space="preserve"> mais </w:t>
      </w:r>
      <w:r w:rsidR="004971F6">
        <w:rPr>
          <w:rStyle w:val="jsgrdq"/>
          <w:color w:val="252E4A"/>
        </w:rPr>
        <w:t xml:space="preserve">sustentada do perfil de benefício /risco destas novas vacinas </w:t>
      </w:r>
      <w:r w:rsidR="00FA66B1">
        <w:rPr>
          <w:rStyle w:val="jsgrdq"/>
          <w:color w:val="252E4A"/>
        </w:rPr>
        <w:t>e</w:t>
      </w:r>
      <w:r w:rsidR="004971F6">
        <w:rPr>
          <w:rStyle w:val="jsgrdq"/>
          <w:color w:val="252E4A"/>
        </w:rPr>
        <w:t xml:space="preserve"> uma decisão mais robusta sobre a necessidade de </w:t>
      </w:r>
      <w:r w:rsidR="00FA66B1">
        <w:rPr>
          <w:rStyle w:val="jsgrdq"/>
          <w:color w:val="252E4A"/>
        </w:rPr>
        <w:t xml:space="preserve">implementar medidas para </w:t>
      </w:r>
      <w:r w:rsidR="004971F6">
        <w:rPr>
          <w:rStyle w:val="jsgrdq"/>
          <w:color w:val="252E4A"/>
        </w:rPr>
        <w:t>minimizar o risco da sua utilização</w:t>
      </w:r>
      <w:r w:rsidR="00493725">
        <w:rPr>
          <w:rStyle w:val="jsgrdq"/>
          <w:color w:val="252E4A"/>
        </w:rPr>
        <w:t>.</w:t>
      </w:r>
    </w:p>
    <w:p w14:paraId="1D0ED57F" w14:textId="26C86278" w:rsidR="00A36319" w:rsidRPr="00FA66B1" w:rsidRDefault="00A36319" w:rsidP="002B0599">
      <w:pPr>
        <w:spacing w:line="240" w:lineRule="auto"/>
        <w:ind w:left="-709" w:right="-285"/>
        <w:jc w:val="both"/>
        <w:rPr>
          <w:color w:val="252E4A"/>
        </w:rPr>
      </w:pPr>
    </w:p>
    <w:sectPr w:rsidR="00A36319" w:rsidRPr="00FA66B1" w:rsidSect="00A807AE">
      <w:footerReference w:type="default" r:id="rId9"/>
      <w:pgSz w:w="11906" w:h="16838"/>
      <w:pgMar w:top="1134" w:right="1701" w:bottom="851" w:left="1701" w:header="5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DEC8" w14:textId="77777777" w:rsidR="005371BF" w:rsidRDefault="005371BF" w:rsidP="00063429">
      <w:pPr>
        <w:spacing w:after="0" w:line="240" w:lineRule="auto"/>
      </w:pPr>
      <w:r>
        <w:separator/>
      </w:r>
    </w:p>
  </w:endnote>
  <w:endnote w:type="continuationSeparator" w:id="0">
    <w:p w14:paraId="2DCD5B0C" w14:textId="77777777" w:rsidR="005371BF" w:rsidRDefault="005371BF" w:rsidP="0006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4295" w14:textId="77777777" w:rsidR="00063429" w:rsidRPr="00493725" w:rsidRDefault="00B941B1" w:rsidP="00493725">
    <w:pPr>
      <w:pStyle w:val="Rodap"/>
      <w:ind w:left="-709"/>
      <w:rPr>
        <w:sz w:val="18"/>
        <w:szCs w:val="18"/>
      </w:rPr>
    </w:pPr>
    <w:r w:rsidRPr="00493725">
      <w:rPr>
        <w:rStyle w:val="jsgrdq"/>
        <w:color w:val="252E4A"/>
        <w:sz w:val="18"/>
        <w:szCs w:val="18"/>
      </w:rPr>
      <w:t xml:space="preserve">SNF = Sistema Nacional de Farmacovigilância; </w:t>
    </w:r>
    <w:r w:rsidR="00063429" w:rsidRPr="00493725">
      <w:rPr>
        <w:rStyle w:val="jsgrdq"/>
        <w:color w:val="252E4A"/>
        <w:sz w:val="18"/>
        <w:szCs w:val="18"/>
      </w:rPr>
      <w:t xml:space="preserve">RAM = Reação Adversa a Medicamento </w:t>
    </w:r>
  </w:p>
  <w:p w14:paraId="31120414" w14:textId="77777777" w:rsidR="00063429" w:rsidRDefault="0006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10FC5" w14:textId="77777777" w:rsidR="005371BF" w:rsidRDefault="005371BF" w:rsidP="00063429">
      <w:pPr>
        <w:spacing w:after="0" w:line="240" w:lineRule="auto"/>
      </w:pPr>
      <w:r>
        <w:separator/>
      </w:r>
    </w:p>
  </w:footnote>
  <w:footnote w:type="continuationSeparator" w:id="0">
    <w:p w14:paraId="15117E89" w14:textId="77777777" w:rsidR="005371BF" w:rsidRDefault="005371BF" w:rsidP="0006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D1BF7"/>
    <w:multiLevelType w:val="hybridMultilevel"/>
    <w:tmpl w:val="F4D07B12"/>
    <w:lvl w:ilvl="0" w:tplc="D5628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E8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0C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CC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AE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06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A2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41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00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B1"/>
    <w:rsid w:val="00026925"/>
    <w:rsid w:val="00037847"/>
    <w:rsid w:val="00057083"/>
    <w:rsid w:val="000603AE"/>
    <w:rsid w:val="00063429"/>
    <w:rsid w:val="0006405B"/>
    <w:rsid w:val="000F0333"/>
    <w:rsid w:val="001269E7"/>
    <w:rsid w:val="00162BE9"/>
    <w:rsid w:val="001F1FC3"/>
    <w:rsid w:val="00244C54"/>
    <w:rsid w:val="002B0599"/>
    <w:rsid w:val="00334FC9"/>
    <w:rsid w:val="00493725"/>
    <w:rsid w:val="004971F6"/>
    <w:rsid w:val="004D24C5"/>
    <w:rsid w:val="004D6974"/>
    <w:rsid w:val="004F3C34"/>
    <w:rsid w:val="005371BF"/>
    <w:rsid w:val="0054104B"/>
    <w:rsid w:val="005C5B8E"/>
    <w:rsid w:val="006D375C"/>
    <w:rsid w:val="00742BE7"/>
    <w:rsid w:val="00746B32"/>
    <w:rsid w:val="00890093"/>
    <w:rsid w:val="008C6E42"/>
    <w:rsid w:val="009506AA"/>
    <w:rsid w:val="00A36319"/>
    <w:rsid w:val="00A530FA"/>
    <w:rsid w:val="00A807AE"/>
    <w:rsid w:val="00B941B1"/>
    <w:rsid w:val="00BC14E3"/>
    <w:rsid w:val="00C34DB0"/>
    <w:rsid w:val="00C35D37"/>
    <w:rsid w:val="00C54417"/>
    <w:rsid w:val="00C6074A"/>
    <w:rsid w:val="00DA28CF"/>
    <w:rsid w:val="00DC2D53"/>
    <w:rsid w:val="00E21D5C"/>
    <w:rsid w:val="00E60893"/>
    <w:rsid w:val="00F61C7A"/>
    <w:rsid w:val="00F67022"/>
    <w:rsid w:val="00F94E6A"/>
    <w:rsid w:val="00FA66B1"/>
    <w:rsid w:val="00FD7B80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328DB0"/>
  <w15:chartTrackingRefBased/>
  <w15:docId w15:val="{9A672D99-5526-4087-81D2-DE2B3E7D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FA66B1"/>
  </w:style>
  <w:style w:type="character" w:styleId="Refdecomentrio">
    <w:name w:val="annotation reference"/>
    <w:basedOn w:val="Tipodeletrapredefinidodopargrafo"/>
    <w:uiPriority w:val="99"/>
    <w:semiHidden/>
    <w:unhideWhenUsed/>
    <w:rsid w:val="004D24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D24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D24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D24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D24C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D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24C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63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3429"/>
  </w:style>
  <w:style w:type="paragraph" w:styleId="Rodap">
    <w:name w:val="footer"/>
    <w:basedOn w:val="Normal"/>
    <w:link w:val="RodapCarter"/>
    <w:uiPriority w:val="99"/>
    <w:unhideWhenUsed/>
    <w:rsid w:val="00063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3429"/>
  </w:style>
  <w:style w:type="paragraph" w:styleId="PargrafodaLista">
    <w:name w:val="List Paragraph"/>
    <w:basedOn w:val="Normal"/>
    <w:uiPriority w:val="34"/>
    <w:qFormat/>
    <w:rsid w:val="002B05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srvfs01.infarmed.local\Grupos\DGRM\UG-SNF\MONITORIZACAO\Vacinas%20COVID\Notificacoes_RAM\Relat&#243;rios\Tratamento%20para%20relat&#243;rio%20semanal%2015AB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Tratamento!$B$31</c:f>
              <c:strCache>
                <c:ptCount val="1"/>
                <c:pt idx="0">
                  <c:v>Número de notificações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Tratamento!$C$30:$R$30</c:f>
              <c:numCache>
                <c:formatCode>d\-mmm</c:formatCode>
                <c:ptCount val="16"/>
                <c:pt idx="0">
                  <c:v>44197</c:v>
                </c:pt>
                <c:pt idx="1">
                  <c:v>44203</c:v>
                </c:pt>
                <c:pt idx="2">
                  <c:v>44210</c:v>
                </c:pt>
                <c:pt idx="3">
                  <c:v>44217</c:v>
                </c:pt>
                <c:pt idx="4">
                  <c:v>44224</c:v>
                </c:pt>
                <c:pt idx="5">
                  <c:v>44231</c:v>
                </c:pt>
                <c:pt idx="6">
                  <c:v>44238</c:v>
                </c:pt>
                <c:pt idx="7">
                  <c:v>44245</c:v>
                </c:pt>
                <c:pt idx="8">
                  <c:v>44252</c:v>
                </c:pt>
                <c:pt idx="9">
                  <c:v>44259</c:v>
                </c:pt>
                <c:pt idx="10">
                  <c:v>44266</c:v>
                </c:pt>
                <c:pt idx="11">
                  <c:v>44273</c:v>
                </c:pt>
                <c:pt idx="12">
                  <c:v>44280</c:v>
                </c:pt>
                <c:pt idx="13">
                  <c:v>44286</c:v>
                </c:pt>
                <c:pt idx="14">
                  <c:v>44294</c:v>
                </c:pt>
                <c:pt idx="15">
                  <c:v>44301</c:v>
                </c:pt>
              </c:numCache>
            </c:numRef>
          </c:xVal>
          <c:yVal>
            <c:numRef>
              <c:f>Tratamento!$C$31:$R$31</c:f>
              <c:numCache>
                <c:formatCode>General</c:formatCode>
                <c:ptCount val="16"/>
                <c:pt idx="0">
                  <c:v>5</c:v>
                </c:pt>
                <c:pt idx="1">
                  <c:v>108</c:v>
                </c:pt>
                <c:pt idx="2">
                  <c:v>219</c:v>
                </c:pt>
                <c:pt idx="3">
                  <c:v>556</c:v>
                </c:pt>
                <c:pt idx="4">
                  <c:v>752</c:v>
                </c:pt>
                <c:pt idx="5">
                  <c:v>1087</c:v>
                </c:pt>
                <c:pt idx="6">
                  <c:v>1461</c:v>
                </c:pt>
                <c:pt idx="7">
                  <c:v>1788</c:v>
                </c:pt>
                <c:pt idx="8">
                  <c:v>2028</c:v>
                </c:pt>
                <c:pt idx="9">
                  <c:v>2284</c:v>
                </c:pt>
                <c:pt idx="10">
                  <c:v>2693</c:v>
                </c:pt>
                <c:pt idx="11">
                  <c:v>2931</c:v>
                </c:pt>
                <c:pt idx="12">
                  <c:v>3345</c:v>
                </c:pt>
                <c:pt idx="13">
                  <c:v>3543</c:v>
                </c:pt>
                <c:pt idx="14">
                  <c:v>4001</c:v>
                </c:pt>
                <c:pt idx="15">
                  <c:v>4387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B47-4CFC-88DE-8AB1204DAC7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1219614175"/>
        <c:axId val="1212255023"/>
      </c:scatterChart>
      <c:valAx>
        <c:axId val="121961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d\-m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12255023"/>
        <c:crosses val="autoZero"/>
        <c:crossBetween val="midCat"/>
      </c:valAx>
      <c:valAx>
        <c:axId val="1212255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PT"/>
                  <a:t>Número</a:t>
                </a:r>
                <a:r>
                  <a:rPr lang="pt-PT" baseline="0"/>
                  <a:t> de Notificações</a:t>
                </a:r>
                <a:endParaRPr lang="pt-PT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21961417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INFARMED, I.P.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Vítor Silva</dc:creator>
  <cp:keywords/>
  <dc:description/>
  <cp:lastModifiedBy>Fatima Canedo</cp:lastModifiedBy>
  <cp:revision>2</cp:revision>
  <cp:lastPrinted>2021-03-26T17:12:00Z</cp:lastPrinted>
  <dcterms:created xsi:type="dcterms:W3CDTF">2021-04-16T16:21:00Z</dcterms:created>
  <dcterms:modified xsi:type="dcterms:W3CDTF">2021-04-16T16:21:00Z</dcterms:modified>
</cp:coreProperties>
</file>