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69971" w14:textId="77777777" w:rsidR="00D975F2" w:rsidRDefault="00D975F2" w:rsidP="0093048C">
      <w:pPr>
        <w:rPr>
          <w:b/>
          <w:u w:val="single"/>
        </w:rPr>
      </w:pPr>
    </w:p>
    <w:p w14:paraId="268FF799" w14:textId="4DE8B4A2" w:rsidR="00743273" w:rsidRPr="002E0AAA" w:rsidRDefault="00743273" w:rsidP="0093048C">
      <w:pPr>
        <w:rPr>
          <w:b/>
          <w:sz w:val="28"/>
          <w:u w:val="single"/>
        </w:rPr>
      </w:pPr>
      <w:r w:rsidRPr="002E0AAA">
        <w:rPr>
          <w:b/>
          <w:sz w:val="28"/>
          <w:u w:val="single"/>
        </w:rPr>
        <w:t xml:space="preserve">COVID-19: Medidas excecionais no âmbito da realização de Ensaios Clínicos, durante o período de risco para a saúde pública </w:t>
      </w:r>
    </w:p>
    <w:p w14:paraId="7C1A7083" w14:textId="77777777" w:rsidR="00743273" w:rsidRPr="00743273" w:rsidRDefault="00743273" w:rsidP="0093048C"/>
    <w:p w14:paraId="407DFD68" w14:textId="2C2FCC4C" w:rsidR="001C40BF" w:rsidRDefault="00743273" w:rsidP="0093048C">
      <w:r w:rsidRPr="00743273">
        <w:t>Na sequência de emergência de Saúde Pública de âmbito Internacional declarada pela Organização Mundial de Saúde em 30/01/2020 para infeção por SARS-CoV-2 (nov</w:t>
      </w:r>
      <w:r>
        <w:t xml:space="preserve">o coronavírus 2019), no que se refere à realização de ensaios clínicos em Portugal, </w:t>
      </w:r>
      <w:r w:rsidR="00D975F2" w:rsidRPr="00D975F2">
        <w:t>INFARMED - Autoridade Nacional do Medicamento e Produtos de Saúde, I.P.</w:t>
      </w:r>
      <w:r w:rsidR="00D975F2">
        <w:t xml:space="preserve"> admite que  promotores, centros de ensaio clínico e equipas de investigação considerem necessária a introdução de alterações aos termos aprovados na Autorização de Ensaio Clínico, no sentido de acautelar a segurança</w:t>
      </w:r>
      <w:r w:rsidR="00E90798">
        <w:t>,</w:t>
      </w:r>
      <w:r w:rsidR="00535DD6">
        <w:t xml:space="preserve"> </w:t>
      </w:r>
      <w:r w:rsidR="00D975F2">
        <w:t xml:space="preserve">proteção </w:t>
      </w:r>
      <w:r w:rsidR="00611A44">
        <w:t xml:space="preserve">e os direitos </w:t>
      </w:r>
      <w:r w:rsidR="00D975F2">
        <w:t>dos participantes em ensaios clínicos</w:t>
      </w:r>
      <w:r w:rsidR="001C40BF">
        <w:t>.</w:t>
      </w:r>
    </w:p>
    <w:p w14:paraId="0CC3DFD3" w14:textId="4C524506" w:rsidR="0051563F" w:rsidRDefault="001C40BF" w:rsidP="0093048C">
      <w:r>
        <w:t>No contexto de emergência, importa ainda simultaneamente reduzir os riscos de propagação de infeção entre a população e garantir a disponibilidade dos profissionais de saúde para tarefas prioritárias</w:t>
      </w:r>
      <w:r w:rsidR="00E90798">
        <w:t>.</w:t>
      </w:r>
    </w:p>
    <w:p w14:paraId="1D5B39D1" w14:textId="0B2ECF26" w:rsidR="00743273" w:rsidRDefault="00E83501" w:rsidP="0093048C">
      <w:r>
        <w:t xml:space="preserve">Sem </w:t>
      </w:r>
      <w:r w:rsidR="001C40BF">
        <w:t>prejuízo</w:t>
      </w:r>
      <w:r>
        <w:t xml:space="preserve"> d</w:t>
      </w:r>
      <w:r w:rsidR="008F29FF">
        <w:t xml:space="preserve">a publicação de </w:t>
      </w:r>
      <w:hyperlink r:id="rId8" w:history="1">
        <w:r w:rsidR="008F29FF" w:rsidRPr="00561162">
          <w:rPr>
            <w:rStyle w:val="Hiperligao"/>
          </w:rPr>
          <w:t>orientações harmonizadas pela Comissão Europeia</w:t>
        </w:r>
      </w:hyperlink>
      <w:r w:rsidR="00F922A7">
        <w:t>,</w:t>
      </w:r>
      <w:r w:rsidR="008F29FF">
        <w:t xml:space="preserve"> no que se refere a realização de ensaios clínicos nos vários Estados-membro</w:t>
      </w:r>
      <w:r w:rsidR="00E90798">
        <w:t>s</w:t>
      </w:r>
      <w:r w:rsidR="008F29FF">
        <w:t xml:space="preserve"> no contexto de pandemia, a</w:t>
      </w:r>
      <w:r w:rsidR="00F922A7">
        <w:t xml:space="preserve">baixo são descritas recomendações </w:t>
      </w:r>
      <w:r w:rsidR="008F29FF">
        <w:t>espec</w:t>
      </w:r>
      <w:r w:rsidR="00F922A7">
        <w:t>ificas que deverão ser seguidas, não obstante virem a ser atualizadas no futuro.</w:t>
      </w:r>
      <w:r w:rsidR="008F29FF">
        <w:t xml:space="preserve"> </w:t>
      </w:r>
    </w:p>
    <w:p w14:paraId="3CA9AADD" w14:textId="5273F6EE" w:rsidR="007D3527" w:rsidRDefault="00171035" w:rsidP="0093048C">
      <w:r>
        <w:t>Neste contexto de emergência de saúde pública</w:t>
      </w:r>
      <w:r w:rsidR="007D3527">
        <w:t>,</w:t>
      </w:r>
      <w:r>
        <w:t xml:space="preserve"> o</w:t>
      </w:r>
      <w:r w:rsidR="00743273">
        <w:t xml:space="preserve"> conjunto de medidas apresentado</w:t>
      </w:r>
      <w:r w:rsidR="007D3527">
        <w:t xml:space="preserve"> abaixo</w:t>
      </w:r>
      <w:r w:rsidR="00743273">
        <w:t xml:space="preserve"> </w:t>
      </w:r>
      <w:r w:rsidR="004A32A4">
        <w:t>pode ser de</w:t>
      </w:r>
      <w:r w:rsidR="00743273">
        <w:t xml:space="preserve"> implementação imediata,</w:t>
      </w:r>
      <w:r w:rsidR="007D3527">
        <w:t xml:space="preserve"> sem</w:t>
      </w:r>
      <w:r w:rsidR="008F1ECE">
        <w:t xml:space="preserve"> que seja necessária a </w:t>
      </w:r>
      <w:r w:rsidR="007D3527">
        <w:t xml:space="preserve">notificação ou aprovação prévia de alteração substancial, </w:t>
      </w:r>
      <w:r w:rsidR="00570CA0">
        <w:t>com exceção do pon</w:t>
      </w:r>
      <w:r w:rsidR="007D3527">
        <w:t>to 1.A</w:t>
      </w:r>
      <w:r w:rsidR="00E90798">
        <w:t>.</w:t>
      </w:r>
    </w:p>
    <w:p w14:paraId="0D854B4B" w14:textId="13FA97FB" w:rsidR="00E90798" w:rsidRDefault="00E90798" w:rsidP="0093048C">
      <w:r>
        <w:t>É esperado que o promotor, em conjunto com o investigador, tome as decisões sobre as medidas a adotar de forma proporcional e adequada, com base numa análise de risco para cada ensaio clínico, em que sejam consideradas as características do ensaio, do centro de ensaio e o risco epidemiológico no mesmo</w:t>
      </w:r>
      <w:r w:rsidR="002229A8">
        <w:t>.</w:t>
      </w:r>
    </w:p>
    <w:p w14:paraId="1449A7A3" w14:textId="003D534B" w:rsidR="00570CA0" w:rsidRDefault="007D3527" w:rsidP="0093048C">
      <w:r w:rsidRPr="00A84156">
        <w:t xml:space="preserve">Para cada um dos ensaios clínicos, em que durante o período </w:t>
      </w:r>
      <w:r w:rsidR="00246F83" w:rsidRPr="00A84156">
        <w:t xml:space="preserve">de crise pandémica exista </w:t>
      </w:r>
      <w:r w:rsidRPr="00A84156">
        <w:t>necessidade de adoção de medidas que</w:t>
      </w:r>
      <w:r w:rsidR="00246F83" w:rsidRPr="00A84156">
        <w:t>,</w:t>
      </w:r>
      <w:r w:rsidRPr="00A84156">
        <w:t xml:space="preserve"> sendo violações ao prot</w:t>
      </w:r>
      <w:r w:rsidR="00246F83" w:rsidRPr="00A84156">
        <w:t xml:space="preserve">ocolo e procedimentos </w:t>
      </w:r>
      <w:r w:rsidRPr="00A84156">
        <w:t>predefinidos</w:t>
      </w:r>
      <w:r w:rsidR="00246F83" w:rsidRPr="00A84156">
        <w:t xml:space="preserve"> do estudo</w:t>
      </w:r>
      <w:r w:rsidRPr="00A84156">
        <w:t>,</w:t>
      </w:r>
      <w:r w:rsidR="00246F83" w:rsidRPr="00A84156">
        <w:t xml:space="preserve"> foram consideradas necessárias</w:t>
      </w:r>
      <w:r w:rsidR="008F1ECE" w:rsidRPr="00A84156">
        <w:t xml:space="preserve"> pelo P</w:t>
      </w:r>
      <w:r w:rsidR="00246F83" w:rsidRPr="00A84156">
        <w:t xml:space="preserve">romotor e Investigador para proteção dos participantes, </w:t>
      </w:r>
      <w:r w:rsidRPr="00A84156">
        <w:t>deverá o Pro</w:t>
      </w:r>
      <w:r w:rsidR="00246F83" w:rsidRPr="00A84156">
        <w:t xml:space="preserve">motor </w:t>
      </w:r>
      <w:r w:rsidRPr="00A84156">
        <w:t>notificar o Infarmed</w:t>
      </w:r>
      <w:r w:rsidR="00246F83" w:rsidRPr="00A84156">
        <w:t xml:space="preserve">, até 4 meses após </w:t>
      </w:r>
      <w:r w:rsidR="00A84156" w:rsidRPr="00A84156">
        <w:t xml:space="preserve">este período </w:t>
      </w:r>
      <w:r w:rsidR="00246F83" w:rsidRPr="00A84156">
        <w:t xml:space="preserve">, </w:t>
      </w:r>
      <w:r w:rsidRPr="00A84156">
        <w:t>com relatório que documente</w:t>
      </w:r>
      <w:r w:rsidR="00246F83" w:rsidRPr="00A84156">
        <w:t xml:space="preserve"> de forma sistematizada</w:t>
      </w:r>
      <w:r w:rsidRPr="00A84156">
        <w:t xml:space="preserve"> </w:t>
      </w:r>
      <w:r w:rsidR="00246F83" w:rsidRPr="00A84156">
        <w:t xml:space="preserve">o conjunto de medidas implementadas, os desvios produzidos bem como uma avaliação </w:t>
      </w:r>
      <w:r w:rsidR="003274E7" w:rsidRPr="00A84156">
        <w:t>da implementação dessas medidas e o seu impacto no estudo</w:t>
      </w:r>
      <w:r w:rsidR="00A84156" w:rsidRPr="00A84156">
        <w:t xml:space="preserve"> após a resolução do atual surto epidémico</w:t>
      </w:r>
      <w:r w:rsidR="003274E7" w:rsidRPr="00A84156">
        <w:t>.</w:t>
      </w:r>
    </w:p>
    <w:p w14:paraId="7B79346C" w14:textId="201ACFF7" w:rsidR="004A32A4" w:rsidRDefault="004A32A4" w:rsidP="0093048C"/>
    <w:p w14:paraId="735E271E" w14:textId="2F17B4E6" w:rsidR="00006199" w:rsidRDefault="00006199" w:rsidP="0093048C">
      <w:r>
        <w:t>São ainda apresentadas outras recomendações, relacionadas com a disponibilidade de medicamentos experimentais, não experimentais, e dispositivos médicos utilizados em contexto de ensaio clínico.</w:t>
      </w:r>
    </w:p>
    <w:p w14:paraId="5BE86CEE" w14:textId="254280EA" w:rsidR="00F922A7" w:rsidRDefault="004A32A4" w:rsidP="0093048C">
      <w:r>
        <w:t xml:space="preserve">Estas recomendações são ainda aplicáveis a estudos clínicos com intervenção de dispositivos médicos ou cosméticos, ao </w:t>
      </w:r>
      <w:r w:rsidRPr="004A32A4">
        <w:t>abrigo do disposto na Lei n.º 21/2014, de 16 de abril, na sua atual redação</w:t>
      </w:r>
      <w:r w:rsidR="00E6507F">
        <w:t>.</w:t>
      </w:r>
      <w:bookmarkStart w:id="0" w:name="_GoBack"/>
      <w:bookmarkEnd w:id="0"/>
    </w:p>
    <w:p w14:paraId="6CD3BCBF" w14:textId="77777777" w:rsidR="009A3FE8" w:rsidRPr="00006199" w:rsidRDefault="009A3FE8" w:rsidP="0093048C">
      <w:pPr>
        <w:rPr>
          <w:b/>
          <w:u w:val="single"/>
        </w:rPr>
      </w:pPr>
    </w:p>
    <w:p w14:paraId="3FF68547" w14:textId="643B81F0" w:rsidR="0040168D" w:rsidRPr="002E0AAA" w:rsidRDefault="00AD5780" w:rsidP="00F44751">
      <w:r w:rsidRPr="002E0AAA">
        <w:rPr>
          <w:b/>
          <w:sz w:val="24"/>
          <w:u w:val="single"/>
        </w:rPr>
        <w:t>1. Medidas de implementa</w:t>
      </w:r>
      <w:r w:rsidR="00006199" w:rsidRPr="002E0AAA">
        <w:rPr>
          <w:b/>
          <w:sz w:val="24"/>
          <w:u w:val="single"/>
        </w:rPr>
        <w:t>ção imediata</w:t>
      </w:r>
      <w:r w:rsidR="00066604">
        <w:rPr>
          <w:b/>
          <w:sz w:val="24"/>
          <w:u w:val="single"/>
        </w:rPr>
        <w:t>:</w:t>
      </w:r>
    </w:p>
    <w:p w14:paraId="597BDAD4" w14:textId="7F965347" w:rsidR="00B73464" w:rsidRDefault="00B73464" w:rsidP="0093048C"/>
    <w:p w14:paraId="11DA0347" w14:textId="6E9CB2CF" w:rsidR="00F44751" w:rsidRPr="002229A8" w:rsidRDefault="00F44751" w:rsidP="002229A8">
      <w:pPr>
        <w:pStyle w:val="PargrafodaLista"/>
        <w:numPr>
          <w:ilvl w:val="0"/>
          <w:numId w:val="14"/>
        </w:numPr>
        <w:rPr>
          <w:b/>
          <w:u w:val="single"/>
        </w:rPr>
      </w:pPr>
      <w:r w:rsidRPr="002229A8">
        <w:rPr>
          <w:b/>
          <w:u w:val="single"/>
        </w:rPr>
        <w:t>Suspensão do recrutamento</w:t>
      </w:r>
    </w:p>
    <w:p w14:paraId="73BC7E4D" w14:textId="7407B9EF" w:rsidR="00F44751" w:rsidRDefault="00F44751" w:rsidP="00F44751">
      <w:r w:rsidRPr="00F44751">
        <w:t>No contexto atual recomenda-se a suspensão da atividade de recrutamento</w:t>
      </w:r>
      <w:r>
        <w:t>,</w:t>
      </w:r>
      <w:r w:rsidRPr="00F44751">
        <w:t xml:space="preserve"> sempre que a mesma acarrete</w:t>
      </w:r>
      <w:r>
        <w:t xml:space="preserve"> justificadamente</w:t>
      </w:r>
      <w:r w:rsidRPr="00F44751">
        <w:t xml:space="preserve"> risco adicional de infeção por SARS-CoV-2 para os doentes a recrutar.  </w:t>
      </w:r>
    </w:p>
    <w:p w14:paraId="58F66EEE" w14:textId="77777777" w:rsidR="008F1ECE" w:rsidRPr="004013C0" w:rsidRDefault="003274E7" w:rsidP="00F44751">
      <w:r w:rsidRPr="004013C0">
        <w:t>Poderá adicionalmente</w:t>
      </w:r>
      <w:r w:rsidR="008F1ECE" w:rsidRPr="004013C0">
        <w:t>,</w:t>
      </w:r>
      <w:r w:rsidRPr="004013C0">
        <w:t xml:space="preserve"> colocar-se a necessidade de interrupção </w:t>
      </w:r>
      <w:r w:rsidR="008F1ECE" w:rsidRPr="004013C0">
        <w:t xml:space="preserve">imediata </w:t>
      </w:r>
      <w:r w:rsidRPr="004013C0">
        <w:t>do tratamento do estudo, sempre que esteja em caus</w:t>
      </w:r>
      <w:r w:rsidR="008F1ECE" w:rsidRPr="004013C0">
        <w:t xml:space="preserve">a a segurança dos participantes. </w:t>
      </w:r>
    </w:p>
    <w:p w14:paraId="6774F324" w14:textId="66814D2F" w:rsidR="003274E7" w:rsidRDefault="008F1ECE" w:rsidP="00F44751">
      <w:r w:rsidRPr="004013C0">
        <w:t>N</w:t>
      </w:r>
      <w:r w:rsidR="003274E7" w:rsidRPr="004013C0">
        <w:t>esses casos</w:t>
      </w:r>
      <w:r w:rsidRPr="004013C0">
        <w:t>,</w:t>
      </w:r>
      <w:r w:rsidR="003274E7" w:rsidRPr="004013C0">
        <w:t xml:space="preserve"> dos quais destacamos particularmente ensaios clínicos que envolvam, populações em imunossupressão decorrente do tratamento instituído</w:t>
      </w:r>
      <w:r w:rsidRPr="004013C0">
        <w:t>,</w:t>
      </w:r>
      <w:r w:rsidR="00A84156" w:rsidRPr="004013C0">
        <w:t xml:space="preserve"> bem como outras terapêuticas que </w:t>
      </w:r>
      <w:r w:rsidR="004013C0" w:rsidRPr="004013C0">
        <w:t>possam constituir um risco intolerável,</w:t>
      </w:r>
      <w:r w:rsidR="003274E7" w:rsidRPr="004013C0">
        <w:t xml:space="preserve"> sempre que seja </w:t>
      </w:r>
      <w:r w:rsidR="00F357DD" w:rsidRPr="004013C0">
        <w:t>realizada uma interrupção do tratamento, em parte ou na totalidade dos participantes, cabe ao Promotor notificar o Infarmed, com “medida urgente de segurança”, a ser submetida tão breve quanto possível</w:t>
      </w:r>
      <w:r w:rsidRPr="004013C0">
        <w:t xml:space="preserve">, </w:t>
      </w:r>
      <w:r w:rsidR="00F357DD" w:rsidRPr="004013C0">
        <w:t>com explicação detalhada do contexto, e das medidas adotadas para garantir o tratamento alternativo dos participantes</w:t>
      </w:r>
      <w:r w:rsidRPr="004013C0">
        <w:t>.</w:t>
      </w:r>
      <w:r w:rsidR="00F357DD">
        <w:t xml:space="preserve">    </w:t>
      </w:r>
      <w:r w:rsidR="003274E7">
        <w:t xml:space="preserve"> </w:t>
      </w:r>
    </w:p>
    <w:p w14:paraId="56B4EA89" w14:textId="77777777" w:rsidR="00F44751" w:rsidRDefault="00F44751" w:rsidP="00F44751"/>
    <w:p w14:paraId="32F9F056" w14:textId="54D4A795" w:rsidR="00066604" w:rsidRPr="002229A8" w:rsidRDefault="00066604" w:rsidP="002229A8">
      <w:pPr>
        <w:pStyle w:val="PargrafodaLista"/>
        <w:numPr>
          <w:ilvl w:val="0"/>
          <w:numId w:val="14"/>
        </w:numPr>
        <w:rPr>
          <w:b/>
          <w:u w:val="single"/>
        </w:rPr>
      </w:pPr>
      <w:r w:rsidRPr="002229A8">
        <w:rPr>
          <w:b/>
          <w:u w:val="single"/>
        </w:rPr>
        <w:t>Visitas programadas - avaliação clínica e procedimentos do estudo com recurso a métodos telemáticos</w:t>
      </w:r>
    </w:p>
    <w:p w14:paraId="3985DAA6" w14:textId="77777777" w:rsidR="00066604" w:rsidRDefault="00066604" w:rsidP="00066604">
      <w:r>
        <w:t>O promotor deve avaliar a necessidade de revisão do plano de visitas adotado no protocolo do estudo, no sentido de:</w:t>
      </w:r>
    </w:p>
    <w:p w14:paraId="5F21F01D" w14:textId="2508D427" w:rsidR="00066604" w:rsidRDefault="00066604" w:rsidP="00066604">
      <w:pPr>
        <w:pStyle w:val="PargrafodaLista"/>
        <w:numPr>
          <w:ilvl w:val="0"/>
          <w:numId w:val="4"/>
        </w:numPr>
      </w:pPr>
      <w:r>
        <w:t xml:space="preserve">Ajustar a frequência de visitas durante o período considerado necessário </w:t>
      </w:r>
    </w:p>
    <w:p w14:paraId="02695BEE" w14:textId="77777777" w:rsidR="00066604" w:rsidRDefault="00066604" w:rsidP="00F44751">
      <w:pPr>
        <w:pStyle w:val="PargrafodaLista"/>
        <w:numPr>
          <w:ilvl w:val="0"/>
          <w:numId w:val="4"/>
        </w:numPr>
        <w:tabs>
          <w:tab w:val="left" w:pos="7513"/>
          <w:tab w:val="left" w:pos="7938"/>
        </w:tabs>
      </w:pPr>
      <w:r>
        <w:t xml:space="preserve">Ajustar o nível de informação recolhida a cada visita </w:t>
      </w:r>
    </w:p>
    <w:p w14:paraId="4FFD3321" w14:textId="20EE86AE" w:rsidR="00066604" w:rsidRDefault="00066604" w:rsidP="00066604">
      <w:pPr>
        <w:tabs>
          <w:tab w:val="left" w:pos="7513"/>
          <w:tab w:val="left" w:pos="7938"/>
        </w:tabs>
      </w:pPr>
      <w:r>
        <w:t>A realização de visitas à distância, com recurso a chamada telefónica ou outros meios tecnológicos (telemáticos), é possível, devendo ser assegurada a recolha e registo de toda a informação prevista para a visita em questão (incluindo o método de realização e a identificação do membro da equipa de investigação responsável pela sua realização).</w:t>
      </w:r>
    </w:p>
    <w:p w14:paraId="3F9F5B12" w14:textId="5711194F" w:rsidR="00066604" w:rsidRDefault="00066604" w:rsidP="00066604">
      <w:pPr>
        <w:tabs>
          <w:tab w:val="left" w:pos="7513"/>
          <w:tab w:val="left" w:pos="7938"/>
        </w:tabs>
      </w:pPr>
      <w:r>
        <w:t xml:space="preserve"> Deve ser assegurado </w:t>
      </w:r>
      <w:r w:rsidRPr="0040168D">
        <w:t xml:space="preserve">que </w:t>
      </w:r>
      <w:r>
        <w:t xml:space="preserve">a utilização de meios telemáticos é consentida por parte do participante, e que apenas é recolhida a informação estritamente necessária. </w:t>
      </w:r>
    </w:p>
    <w:p w14:paraId="4604E323" w14:textId="77777777" w:rsidR="003B05E5" w:rsidRDefault="003B05E5" w:rsidP="00066604">
      <w:pPr>
        <w:tabs>
          <w:tab w:val="left" w:pos="7513"/>
          <w:tab w:val="left" w:pos="7938"/>
        </w:tabs>
      </w:pPr>
    </w:p>
    <w:p w14:paraId="3C80994D" w14:textId="3CFDD0AF" w:rsidR="00066604" w:rsidRPr="00F44751" w:rsidRDefault="00066604" w:rsidP="002229A8">
      <w:pPr>
        <w:pStyle w:val="PargrafodaLista"/>
        <w:numPr>
          <w:ilvl w:val="0"/>
          <w:numId w:val="14"/>
        </w:numPr>
        <w:rPr>
          <w:b/>
          <w:u w:val="single"/>
        </w:rPr>
      </w:pPr>
      <w:r w:rsidRPr="00F44751">
        <w:rPr>
          <w:b/>
          <w:u w:val="single"/>
        </w:rPr>
        <w:t>Monitorização centralizada</w:t>
      </w:r>
    </w:p>
    <w:p w14:paraId="2C85F00C" w14:textId="77777777" w:rsidR="00066604" w:rsidRDefault="00066604" w:rsidP="00066604">
      <w:r>
        <w:t>O promotor deve avaliar a necessidade de revisão do plano de monitorização* adotado no sentido de:</w:t>
      </w:r>
    </w:p>
    <w:p w14:paraId="2956C45E" w14:textId="3D613367" w:rsidR="00066604" w:rsidRDefault="00066604" w:rsidP="00066604">
      <w:pPr>
        <w:pStyle w:val="PargrafodaLista"/>
        <w:numPr>
          <w:ilvl w:val="0"/>
          <w:numId w:val="4"/>
        </w:numPr>
      </w:pPr>
      <w:r>
        <w:t>Adiar as visitas de monitorização presenciais</w:t>
      </w:r>
    </w:p>
    <w:p w14:paraId="00B812FC" w14:textId="73250B40" w:rsidR="00066604" w:rsidRDefault="00066604" w:rsidP="00066604">
      <w:pPr>
        <w:pStyle w:val="PargrafodaLista"/>
        <w:numPr>
          <w:ilvl w:val="0"/>
          <w:numId w:val="4"/>
        </w:numPr>
        <w:rPr>
          <w:color w:val="000000" w:themeColor="text1"/>
        </w:rPr>
      </w:pPr>
      <w:r>
        <w:t xml:space="preserve">A realização de visitas de monitorização centralizada, com base numa avaliação de risco, é </w:t>
      </w:r>
      <w:r>
        <w:rPr>
          <w:color w:val="000000" w:themeColor="text1"/>
        </w:rPr>
        <w:t xml:space="preserve">permitida e encorajada. </w:t>
      </w:r>
    </w:p>
    <w:p w14:paraId="29F73119" w14:textId="06CE5FA0" w:rsidR="003B05E5" w:rsidRPr="003B476C" w:rsidRDefault="003B05E5" w:rsidP="003B05E5">
      <w:pPr>
        <w:pStyle w:val="PargrafodaLista"/>
        <w:numPr>
          <w:ilvl w:val="0"/>
          <w:numId w:val="4"/>
        </w:numPr>
        <w:rPr>
          <w:color w:val="000000" w:themeColor="text1"/>
        </w:rPr>
      </w:pPr>
      <w:r>
        <w:lastRenderedPageBreak/>
        <w:t>Reduzir as atividades de monitorização ao que for possível remotamente, ainda que tal implique atrasar a revisão de dados fonte, para quando for possível o seu acesso presencial e em concordância com o centro de ensaio e investigador principal.</w:t>
      </w:r>
    </w:p>
    <w:p w14:paraId="0D0C7498" w14:textId="77777777" w:rsidR="003B05E5" w:rsidRPr="003B476C" w:rsidRDefault="003B05E5" w:rsidP="003B476C">
      <w:pPr>
        <w:pStyle w:val="PargrafodaLista"/>
        <w:rPr>
          <w:color w:val="000000" w:themeColor="text1"/>
        </w:rPr>
      </w:pPr>
    </w:p>
    <w:p w14:paraId="337F3AA7" w14:textId="39C1DA50" w:rsidR="00066604" w:rsidRDefault="00066604" w:rsidP="00F44751">
      <w:pPr>
        <w:pStyle w:val="PargrafodaLista"/>
        <w:ind w:left="0"/>
        <w:rPr>
          <w:color w:val="000000" w:themeColor="text1"/>
        </w:rPr>
      </w:pPr>
      <w:r w:rsidRPr="004D6F4B">
        <w:rPr>
          <w:color w:val="000000" w:themeColor="text1"/>
        </w:rPr>
        <w:t xml:space="preserve">A monitorização </w:t>
      </w:r>
      <w:r>
        <w:rPr>
          <w:color w:val="000000" w:themeColor="text1"/>
        </w:rPr>
        <w:t>centralizada</w:t>
      </w:r>
      <w:r w:rsidRPr="004D6F4B">
        <w:rPr>
          <w:color w:val="000000" w:themeColor="text1"/>
        </w:rPr>
        <w:t xml:space="preserve"> não pode implicar a retenção de documentos fonte nem o acesso a dados pessoais por pessoas não autorizadas, devendo ser garantido o cumprimento das Boas Praticas Clínicas nesta matéria</w:t>
      </w:r>
      <w:r>
        <w:rPr>
          <w:color w:val="000000" w:themeColor="text1"/>
        </w:rPr>
        <w:t>,</w:t>
      </w:r>
      <w:r w:rsidRPr="004D6F4B">
        <w:rPr>
          <w:color w:val="000000" w:themeColor="text1"/>
        </w:rPr>
        <w:t xml:space="preserve"> e do Regulamento Geral de Proteção de Dados.</w:t>
      </w:r>
    </w:p>
    <w:p w14:paraId="5CE0F69E" w14:textId="77777777" w:rsidR="00066604" w:rsidRPr="00F44751" w:rsidRDefault="00066604" w:rsidP="00F44751">
      <w:pPr>
        <w:pStyle w:val="PargrafodaLista"/>
        <w:ind w:left="0"/>
        <w:rPr>
          <w:color w:val="000000" w:themeColor="text1"/>
        </w:rPr>
      </w:pPr>
    </w:p>
    <w:p w14:paraId="2FA1734E" w14:textId="1637E2F8" w:rsidR="0093048C" w:rsidRPr="00F44751" w:rsidRDefault="0093048C" w:rsidP="002229A8">
      <w:pPr>
        <w:pStyle w:val="PargrafodaLista"/>
        <w:numPr>
          <w:ilvl w:val="0"/>
          <w:numId w:val="14"/>
        </w:numPr>
        <w:rPr>
          <w:b/>
          <w:u w:val="single"/>
        </w:rPr>
      </w:pPr>
      <w:r w:rsidRPr="00F44751">
        <w:rPr>
          <w:b/>
          <w:u w:val="single"/>
        </w:rPr>
        <w:t>Dispensa direta no domicilio</w:t>
      </w:r>
      <w:r w:rsidR="008133B5" w:rsidRPr="00F44751">
        <w:rPr>
          <w:b/>
          <w:u w:val="single"/>
        </w:rPr>
        <w:t xml:space="preserve"> d</w:t>
      </w:r>
      <w:r w:rsidR="00F44751">
        <w:rPr>
          <w:b/>
          <w:u w:val="single"/>
        </w:rPr>
        <w:t>e</w:t>
      </w:r>
      <w:r w:rsidR="008133B5" w:rsidRPr="00F44751">
        <w:rPr>
          <w:b/>
          <w:u w:val="single"/>
        </w:rPr>
        <w:t xml:space="preserve"> medicamentos experimenta</w:t>
      </w:r>
      <w:r w:rsidR="00F44751">
        <w:rPr>
          <w:b/>
          <w:u w:val="single"/>
        </w:rPr>
        <w:t>is</w:t>
      </w:r>
    </w:p>
    <w:p w14:paraId="5FD15332" w14:textId="77777777" w:rsidR="0093048C" w:rsidRDefault="003E18C3">
      <w:r>
        <w:t>Dadas as circunstâncias excecionais, a dispensa ao domicilio poderá ser aceite, com base nas seguintes premissas:</w:t>
      </w:r>
    </w:p>
    <w:p w14:paraId="30B6CF7E" w14:textId="521F0DBE" w:rsidR="008133B5" w:rsidRDefault="008133B5" w:rsidP="008133B5">
      <w:pPr>
        <w:pStyle w:val="PargrafodaLista"/>
        <w:numPr>
          <w:ilvl w:val="0"/>
          <w:numId w:val="2"/>
        </w:numPr>
      </w:pPr>
      <w:r w:rsidRPr="002E0AAA">
        <w:rPr>
          <w:u w:val="single"/>
        </w:rPr>
        <w:t>Assegurar que o Investigador Principal e a equipa de investigação (incluindo a farmácia hospitalar) mantêm a supervisão deste processo</w:t>
      </w:r>
      <w:r>
        <w:t>, garantindo vias de comunicação que permitam esclarecimento de duvidas por parte dos participantes.</w:t>
      </w:r>
    </w:p>
    <w:p w14:paraId="2226C017" w14:textId="58F16A58" w:rsidR="008133B5" w:rsidRDefault="008133B5" w:rsidP="0040168D">
      <w:pPr>
        <w:pStyle w:val="PargrafodaLista"/>
        <w:numPr>
          <w:ilvl w:val="0"/>
          <w:numId w:val="2"/>
        </w:numPr>
      </w:pPr>
      <w:r>
        <w:t>Assegurar que o acesso a informação pessoal (nome e morada) são consentidos por parte do participante.</w:t>
      </w:r>
    </w:p>
    <w:p w14:paraId="7C719986" w14:textId="452C2860" w:rsidR="00335CFE" w:rsidRDefault="00487C7A" w:rsidP="003E18C3">
      <w:pPr>
        <w:pStyle w:val="PargrafodaLista"/>
        <w:numPr>
          <w:ilvl w:val="0"/>
          <w:numId w:val="2"/>
        </w:numPr>
      </w:pPr>
      <w:r>
        <w:t>Realizados</w:t>
      </w:r>
      <w:r w:rsidR="003E18C3">
        <w:t xml:space="preserve"> registos que permitam rastrear o transporte desde o ponto de partida (centro de ensaio), até</w:t>
      </w:r>
      <w:r w:rsidR="00335CFE">
        <w:t xml:space="preserve"> à entrega ao participante</w:t>
      </w:r>
      <w:r w:rsidR="008133B5">
        <w:t>.</w:t>
      </w:r>
    </w:p>
    <w:p w14:paraId="2D1BAD41" w14:textId="7F94EB84" w:rsidR="003E18C3" w:rsidRDefault="00487C7A" w:rsidP="003E18C3">
      <w:pPr>
        <w:pStyle w:val="PargrafodaLista"/>
        <w:numPr>
          <w:ilvl w:val="0"/>
          <w:numId w:val="2"/>
        </w:numPr>
      </w:pPr>
      <w:r>
        <w:t>Assegurados r</w:t>
      </w:r>
      <w:r w:rsidR="00AD5780">
        <w:t>egistos relativos</w:t>
      </w:r>
      <w:r w:rsidR="00335CFE">
        <w:t xml:space="preserve"> ao</w:t>
      </w:r>
      <w:r w:rsidR="00AD5780">
        <w:t>s</w:t>
      </w:r>
      <w:r w:rsidR="00335CFE">
        <w:t xml:space="preserve"> método</w:t>
      </w:r>
      <w:r w:rsidR="00AD5780">
        <w:t>s</w:t>
      </w:r>
      <w:r w:rsidR="00335CFE">
        <w:t xml:space="preserve"> de acondicionamento</w:t>
      </w:r>
      <w:r w:rsidR="008133B5">
        <w:t>.</w:t>
      </w:r>
    </w:p>
    <w:p w14:paraId="19D26EF5" w14:textId="0F1C1B78" w:rsidR="00335CFE" w:rsidRDefault="00487C7A" w:rsidP="003E18C3">
      <w:pPr>
        <w:pStyle w:val="PargrafodaLista"/>
        <w:numPr>
          <w:ilvl w:val="0"/>
          <w:numId w:val="2"/>
        </w:numPr>
      </w:pPr>
      <w:r>
        <w:t>Garantidos r</w:t>
      </w:r>
      <w:r w:rsidR="00335CFE">
        <w:t>egistos de temperatura</w:t>
      </w:r>
      <w:r w:rsidR="005A678E">
        <w:t>/ humidade</w:t>
      </w:r>
      <w:r w:rsidR="00335CFE">
        <w:t xml:space="preserve"> durante o transporte</w:t>
      </w:r>
      <w:r w:rsidR="008133B5">
        <w:t>.</w:t>
      </w:r>
    </w:p>
    <w:p w14:paraId="38F76666" w14:textId="371D1A86" w:rsidR="00335CFE" w:rsidRDefault="00335CFE" w:rsidP="003E18C3">
      <w:pPr>
        <w:pStyle w:val="PargrafodaLista"/>
        <w:numPr>
          <w:ilvl w:val="0"/>
          <w:numId w:val="2"/>
        </w:numPr>
      </w:pPr>
      <w:r>
        <w:t>Em casos</w:t>
      </w:r>
      <w:r w:rsidR="005A678E">
        <w:t xml:space="preserve"> que seja necessária</w:t>
      </w:r>
      <w:r>
        <w:t xml:space="preserve"> reconstituição, deve ser acautelado o período de estabilidade do medicamento entre o momento da reconstituição e a </w:t>
      </w:r>
      <w:r w:rsidR="005A678E">
        <w:t xml:space="preserve">sua </w:t>
      </w:r>
      <w:r>
        <w:t>administração</w:t>
      </w:r>
      <w:r w:rsidR="005A678E">
        <w:t xml:space="preserve">, </w:t>
      </w:r>
      <w:r w:rsidR="001E56C6">
        <w:t xml:space="preserve">sendo </w:t>
      </w:r>
      <w:r w:rsidR="008133B5">
        <w:t xml:space="preserve">esta possibilidade apenas </w:t>
      </w:r>
      <w:r w:rsidR="001E56C6">
        <w:t xml:space="preserve">aplicável </w:t>
      </w:r>
      <w:r w:rsidR="005A678E">
        <w:t>nos casos em que a administração não exija a intervenção de um profissional de saúde</w:t>
      </w:r>
      <w:r w:rsidR="001E56C6">
        <w:t>*</w:t>
      </w:r>
    </w:p>
    <w:p w14:paraId="06203624" w14:textId="4757DA86" w:rsidR="005A678E" w:rsidRDefault="005A678E" w:rsidP="003E18C3">
      <w:pPr>
        <w:pStyle w:val="PargrafodaLista"/>
        <w:numPr>
          <w:ilvl w:val="0"/>
          <w:numId w:val="2"/>
        </w:numPr>
      </w:pPr>
      <w:r>
        <w:t xml:space="preserve">Assegurar que o doente recebe toda a informação e se encontra esclarecido sobre o processo de administração </w:t>
      </w:r>
      <w:r w:rsidR="00ED21C1">
        <w:t>e vigilância</w:t>
      </w:r>
      <w:r w:rsidR="008133B5">
        <w:t>, bem como dispõe dos contactos necessários à comunicação de efeitos adversos/ efeitos adversos graves</w:t>
      </w:r>
    </w:p>
    <w:p w14:paraId="0A9E0645" w14:textId="77777777" w:rsidR="00AE52AD" w:rsidRDefault="00AE52AD" w:rsidP="00B600AE">
      <w:pPr>
        <w:pStyle w:val="PargrafodaLista"/>
        <w:numPr>
          <w:ilvl w:val="0"/>
          <w:numId w:val="2"/>
        </w:numPr>
      </w:pPr>
      <w:r>
        <w:t>Assegurar que a ocultação do ensaio não é quebrada, nos casos aplicáveis.</w:t>
      </w:r>
    </w:p>
    <w:p w14:paraId="59ADB075" w14:textId="38AA7278" w:rsidR="00B600AE" w:rsidRDefault="001E56C6" w:rsidP="002E0AAA">
      <w:pPr>
        <w:ind w:firstLine="708"/>
      </w:pPr>
      <w:r>
        <w:t>* nos casos em que a administração exija a intervenção de um profissional de saúde</w:t>
      </w:r>
      <w:r w:rsidR="00830C87">
        <w:t xml:space="preserve">, não </w:t>
      </w:r>
      <w:r w:rsidR="00655B78">
        <w:t xml:space="preserve">sendo </w:t>
      </w:r>
      <w:r w:rsidR="00830C87">
        <w:t>possível garantir que este a realize no domicilio do participante (garantindo todas as condições de segurança para o doente e para o próprio profissional de saúde</w:t>
      </w:r>
      <w:r w:rsidR="00655B78">
        <w:t>, bem como todos meios técnicos necessários</w:t>
      </w:r>
      <w:r w:rsidR="00830C87">
        <w:t>), deve ser ponderada a transferência do doente para</w:t>
      </w:r>
      <w:r w:rsidR="003A290B">
        <w:t xml:space="preserve"> outro</w:t>
      </w:r>
      <w:r w:rsidR="00830C87">
        <w:t xml:space="preserve"> centro de </w:t>
      </w:r>
      <w:r w:rsidR="003A290B">
        <w:t>ensaio clínico alternativo. Não sendo possível a transferência deverá ser realiza</w:t>
      </w:r>
      <w:r w:rsidR="005E5035">
        <w:t>n</w:t>
      </w:r>
      <w:r w:rsidR="003A290B">
        <w:t>do o</w:t>
      </w:r>
      <w:r w:rsidR="00830C87">
        <w:t xml:space="preserve"> encer</w:t>
      </w:r>
      <w:r w:rsidR="003A290B">
        <w:t xml:space="preserve">ramento do </w:t>
      </w:r>
      <w:r w:rsidR="00830C87">
        <w:t>centro de investigação, com a realização de todos os procedime</w:t>
      </w:r>
      <w:r w:rsidR="00655B78">
        <w:t>ntos inerentes ao fim de estudo</w:t>
      </w:r>
      <w:r w:rsidR="00C17128">
        <w:t>, acautelando a segurança e bem-estar dos participantes</w:t>
      </w:r>
      <w:r w:rsidR="00655B78">
        <w:t>.</w:t>
      </w:r>
      <w:r w:rsidR="008133B5">
        <w:t xml:space="preserve"> </w:t>
      </w:r>
      <w:r w:rsidR="00655B78">
        <w:t>O acompanhamento do</w:t>
      </w:r>
      <w:r w:rsidR="00C17128">
        <w:t>s</w:t>
      </w:r>
      <w:r w:rsidR="00655B78">
        <w:t xml:space="preserve"> doente</w:t>
      </w:r>
      <w:r w:rsidR="00C17128">
        <w:t>s</w:t>
      </w:r>
      <w:r w:rsidR="00655B78">
        <w:t xml:space="preserve"> após conclusão p</w:t>
      </w:r>
      <w:r w:rsidR="006A07C9">
        <w:t xml:space="preserve">recoce do ensaio </w:t>
      </w:r>
      <w:r w:rsidR="00C17128">
        <w:t xml:space="preserve">no centro de investigação </w:t>
      </w:r>
      <w:r w:rsidR="006A07C9">
        <w:t xml:space="preserve">deve seguir </w:t>
      </w:r>
      <w:r w:rsidR="00830C87">
        <w:t>as orientações</w:t>
      </w:r>
      <w:r w:rsidR="003A290B">
        <w:t xml:space="preserve"> descritas no protocolo do ensaio clinico para estes casos</w:t>
      </w:r>
      <w:r w:rsidR="00655B78">
        <w:t>.</w:t>
      </w:r>
    </w:p>
    <w:p w14:paraId="7757696B" w14:textId="4CFC0473" w:rsidR="00B600AE" w:rsidRPr="00B26A85" w:rsidRDefault="00B26A85">
      <w:r w:rsidRPr="00B26A85">
        <w:t xml:space="preserve">Devem ainda ser consideradas as disposições da secção 10 do documento </w:t>
      </w:r>
      <w:hyperlink r:id="rId9" w:history="1">
        <w:r w:rsidRPr="00B26A85">
          <w:rPr>
            <w:rStyle w:val="Hiperligao"/>
          </w:rPr>
          <w:t xml:space="preserve">"Q&amp;A: </w:t>
        </w:r>
        <w:proofErr w:type="spellStart"/>
        <w:r w:rsidRPr="00B26A85">
          <w:rPr>
            <w:rStyle w:val="Hiperligao"/>
          </w:rPr>
          <w:t>Good</w:t>
        </w:r>
        <w:proofErr w:type="spellEnd"/>
        <w:r w:rsidRPr="00B26A85">
          <w:rPr>
            <w:rStyle w:val="Hiperligao"/>
          </w:rPr>
          <w:t xml:space="preserve"> </w:t>
        </w:r>
        <w:proofErr w:type="spellStart"/>
        <w:r w:rsidRPr="00B26A85">
          <w:rPr>
            <w:rStyle w:val="Hiperligao"/>
          </w:rPr>
          <w:t>clinical</w:t>
        </w:r>
        <w:proofErr w:type="spellEnd"/>
        <w:r>
          <w:rPr>
            <w:rStyle w:val="Hiperligao"/>
          </w:rPr>
          <w:t xml:space="preserve"> </w:t>
        </w:r>
        <w:proofErr w:type="spellStart"/>
        <w:r w:rsidRPr="00B26A85">
          <w:rPr>
            <w:rStyle w:val="Hiperligao"/>
          </w:rPr>
          <w:t>practice</w:t>
        </w:r>
        <w:proofErr w:type="spellEnd"/>
        <w:r w:rsidRPr="00B26A85">
          <w:rPr>
            <w:rStyle w:val="Hiperligao"/>
          </w:rPr>
          <w:t xml:space="preserve"> (GCP)” – GCP </w:t>
        </w:r>
        <w:proofErr w:type="spellStart"/>
        <w:r w:rsidRPr="00B26A85">
          <w:rPr>
            <w:rStyle w:val="Hiperligao"/>
          </w:rPr>
          <w:t>Matters</w:t>
        </w:r>
        <w:proofErr w:type="spellEnd"/>
        <w:r w:rsidRPr="00B26A85">
          <w:rPr>
            <w:rStyle w:val="Hiperligao"/>
          </w:rPr>
          <w:t>”</w:t>
        </w:r>
      </w:hyperlink>
      <w:r w:rsidRPr="00B26A85">
        <w:t>.</w:t>
      </w:r>
    </w:p>
    <w:p w14:paraId="05184029" w14:textId="749112CE" w:rsidR="00B26A85" w:rsidRDefault="00B26A85">
      <w:pPr>
        <w:rPr>
          <w:b/>
        </w:rPr>
      </w:pPr>
    </w:p>
    <w:p w14:paraId="7C8B64FD" w14:textId="0BDDE724" w:rsidR="00E90798" w:rsidRDefault="00E90798">
      <w:pPr>
        <w:rPr>
          <w:b/>
        </w:rPr>
      </w:pPr>
    </w:p>
    <w:p w14:paraId="5AF90773" w14:textId="77777777" w:rsidR="00D91AD5" w:rsidRPr="002E0AAA" w:rsidRDefault="00D91AD5">
      <w:pPr>
        <w:rPr>
          <w:b/>
        </w:rPr>
      </w:pPr>
    </w:p>
    <w:p w14:paraId="284912B9" w14:textId="62E693E5" w:rsidR="00487C7A" w:rsidRPr="002229A8" w:rsidRDefault="00487C7A" w:rsidP="002229A8">
      <w:pPr>
        <w:pStyle w:val="PargrafodaLista"/>
        <w:numPr>
          <w:ilvl w:val="0"/>
          <w:numId w:val="14"/>
        </w:numPr>
        <w:rPr>
          <w:b/>
          <w:u w:val="single"/>
        </w:rPr>
      </w:pPr>
      <w:r w:rsidRPr="002229A8">
        <w:rPr>
          <w:b/>
          <w:u w:val="single"/>
        </w:rPr>
        <w:lastRenderedPageBreak/>
        <w:t>Condições de transferência entre centros de ensaio:</w:t>
      </w:r>
    </w:p>
    <w:p w14:paraId="07765B63" w14:textId="77777777" w:rsidR="00487C7A" w:rsidRDefault="00487C7A" w:rsidP="00487C7A">
      <w:r w:rsidRPr="00D86F49">
        <w:t xml:space="preserve">Dadas as circunstâncias excecionais, a transferência entre centros de ensaio, poderá ser aceite, devendo ser </w:t>
      </w:r>
      <w:r w:rsidRPr="004D6F4B">
        <w:t xml:space="preserve">garantido o cumprimento das Boas Praticas Clínicas nesta matéria e do Regulamento Geral de Proteção de Dados, os aspetos relativos à circulação de informação de saúde decorrentes da Lei n.º 12/2005, de 26 de </w:t>
      </w:r>
      <w:r>
        <w:t>j</w:t>
      </w:r>
      <w:r w:rsidRPr="004D6F4B">
        <w:t>aneiro, bem como os demais aspetos deontológicos para a transferência de documentos entre instituições de saúde.</w:t>
      </w:r>
      <w:r>
        <w:t xml:space="preserve"> </w:t>
      </w:r>
    </w:p>
    <w:p w14:paraId="769C7A6C" w14:textId="24DACAE8" w:rsidR="00487C7A" w:rsidRDefault="00487C7A" w:rsidP="00F44751">
      <w:r>
        <w:t xml:space="preserve">No caso de ser necessária a transferência de </w:t>
      </w:r>
      <w:r w:rsidRPr="00487C7A">
        <w:rPr>
          <w:i/>
        </w:rPr>
        <w:t>stock</w:t>
      </w:r>
      <w:r>
        <w:t xml:space="preserve"> de ME (caso aplicável), a assegurar pelo promotor, deverão ser:</w:t>
      </w:r>
    </w:p>
    <w:p w14:paraId="6C11784B" w14:textId="2ADF5E3D" w:rsidR="00487C7A" w:rsidRDefault="00487C7A" w:rsidP="002229A8">
      <w:pPr>
        <w:pStyle w:val="PargrafodaLista"/>
        <w:numPr>
          <w:ilvl w:val="0"/>
          <w:numId w:val="15"/>
        </w:numPr>
      </w:pPr>
      <w:r>
        <w:t>Realizados registos de que permitam rastrear o transporte desde o ponto de partida (promotor ou centro de ensaio), até à entrega no novo centro de ensaio</w:t>
      </w:r>
    </w:p>
    <w:p w14:paraId="7540C736" w14:textId="330B1048" w:rsidR="00487C7A" w:rsidRDefault="00487C7A" w:rsidP="002229A8">
      <w:pPr>
        <w:pStyle w:val="PargrafodaLista"/>
        <w:numPr>
          <w:ilvl w:val="0"/>
          <w:numId w:val="15"/>
        </w:numPr>
      </w:pPr>
      <w:r>
        <w:t>Assegurados registos relativos ao método de acondicionamento</w:t>
      </w:r>
    </w:p>
    <w:p w14:paraId="51274718" w14:textId="7B600C08" w:rsidR="00487C7A" w:rsidRDefault="00487C7A" w:rsidP="002229A8">
      <w:pPr>
        <w:pStyle w:val="PargrafodaLista"/>
        <w:numPr>
          <w:ilvl w:val="0"/>
          <w:numId w:val="15"/>
        </w:numPr>
      </w:pPr>
      <w:r>
        <w:t>Garantidos registos de temperatura/ humidade durante o transporte</w:t>
      </w:r>
    </w:p>
    <w:p w14:paraId="6ADF53E2" w14:textId="77777777" w:rsidR="00487C7A" w:rsidRDefault="00487C7A" w:rsidP="00487C7A">
      <w:r w:rsidRPr="004D6F4B">
        <w:t xml:space="preserve">Deve ser garantido o cumprimento das Boas Praticas Clínicas nesta matéria e do Regulamento Geral de Proteção de Dados, os aspetos relativos à circulação de informação de saúde decorrentes da Lei n.º 12/2005, de 26 de </w:t>
      </w:r>
      <w:r>
        <w:t>j</w:t>
      </w:r>
      <w:r w:rsidRPr="004D6F4B">
        <w:t>aneiro, bem como os demais aspetos deontológicos para a transferência de documentos entre instituições de saúde.</w:t>
      </w:r>
      <w:r>
        <w:t xml:space="preserve"> </w:t>
      </w:r>
    </w:p>
    <w:p w14:paraId="0AFF7CD7" w14:textId="77777777" w:rsidR="008133B5" w:rsidRPr="00B600AE" w:rsidRDefault="008133B5"/>
    <w:p w14:paraId="336290A8" w14:textId="3D3D8D93" w:rsidR="00743273" w:rsidRDefault="00006199">
      <w:pPr>
        <w:rPr>
          <w:b/>
          <w:sz w:val="24"/>
          <w:u w:val="single"/>
        </w:rPr>
      </w:pPr>
      <w:r w:rsidRPr="002E0AAA">
        <w:rPr>
          <w:b/>
          <w:sz w:val="24"/>
          <w:u w:val="single"/>
        </w:rPr>
        <w:t xml:space="preserve">2. Outras recomendações: </w:t>
      </w:r>
    </w:p>
    <w:p w14:paraId="7D6D1BBD" w14:textId="49880BA3" w:rsidR="008F1ECE" w:rsidRPr="00C75DD7" w:rsidRDefault="008F1ECE" w:rsidP="00C75DD7">
      <w:pPr>
        <w:pStyle w:val="PargrafodaLista"/>
        <w:numPr>
          <w:ilvl w:val="0"/>
          <w:numId w:val="16"/>
        </w:numPr>
        <w:rPr>
          <w:b/>
          <w:u w:val="single"/>
        </w:rPr>
      </w:pPr>
      <w:r w:rsidRPr="00C75DD7">
        <w:rPr>
          <w:b/>
          <w:u w:val="single"/>
        </w:rPr>
        <w:t>Comunicação com o Infarmed</w:t>
      </w:r>
    </w:p>
    <w:p w14:paraId="097B1BBA" w14:textId="71AD1688" w:rsidR="003B3A78" w:rsidRPr="009A3FE8" w:rsidRDefault="008F1ECE" w:rsidP="009A3FE8">
      <w:r w:rsidRPr="009A3FE8">
        <w:t>O meio de contacto privilegiado é o email</w:t>
      </w:r>
      <w:r w:rsidR="003B3A78">
        <w:t>:</w:t>
      </w:r>
      <w:r w:rsidR="003B3A78" w:rsidRPr="003B3A78">
        <w:t xml:space="preserve"> ensaios.clinicos</w:t>
      </w:r>
      <w:r w:rsidR="009A3FE8">
        <w:t>@i</w:t>
      </w:r>
      <w:r w:rsidR="003B3A78" w:rsidRPr="003B3A78">
        <w:t>nfarmed.pt</w:t>
      </w:r>
    </w:p>
    <w:p w14:paraId="0248DAD3" w14:textId="7D59BC08" w:rsidR="008F1ECE" w:rsidRDefault="003B3A78" w:rsidP="009A3FE8">
      <w:r w:rsidRPr="009A3FE8">
        <w:t xml:space="preserve">Todas as submissões </w:t>
      </w:r>
      <w:r w:rsidRPr="003B3A78">
        <w:t xml:space="preserve">relativas a processos anteriores </w:t>
      </w:r>
      <w:r>
        <w:t xml:space="preserve">à implementação do RNEC, deverão nesta fase ser submetidos por email. </w:t>
      </w:r>
      <w:r w:rsidR="008F1ECE" w:rsidRPr="009A3FE8">
        <w:t xml:space="preserve"> </w:t>
      </w:r>
    </w:p>
    <w:p w14:paraId="768F8759" w14:textId="77777777" w:rsidR="009A3FE8" w:rsidRPr="009A3FE8" w:rsidRDefault="009A3FE8" w:rsidP="009A3FE8">
      <w:pPr>
        <w:spacing w:after="0" w:line="240" w:lineRule="auto"/>
      </w:pPr>
    </w:p>
    <w:p w14:paraId="3A0FFEBC" w14:textId="77777777" w:rsidR="00B26A85" w:rsidRPr="00C75DD7" w:rsidRDefault="00B26A85" w:rsidP="00C75DD7">
      <w:pPr>
        <w:pStyle w:val="PargrafodaLista"/>
        <w:numPr>
          <w:ilvl w:val="0"/>
          <w:numId w:val="16"/>
        </w:numPr>
        <w:rPr>
          <w:b/>
          <w:u w:val="single"/>
        </w:rPr>
      </w:pPr>
      <w:r w:rsidRPr="00C75DD7">
        <w:rPr>
          <w:b/>
          <w:u w:val="single"/>
        </w:rPr>
        <w:t>Rutura de fornecimento do ME</w:t>
      </w:r>
    </w:p>
    <w:p w14:paraId="12AC410D" w14:textId="42C495C7" w:rsidR="00B26A85" w:rsidRPr="002229A8" w:rsidRDefault="00B26A85" w:rsidP="00C75DD7">
      <w:r>
        <w:t>G</w:t>
      </w:r>
      <w:r w:rsidRPr="00F026A0">
        <w:t xml:space="preserve">arantir </w:t>
      </w:r>
      <w:r w:rsidRPr="002229A8">
        <w:t>stock</w:t>
      </w:r>
      <w:r w:rsidRPr="00F026A0">
        <w:t xml:space="preserve"> de reserva para os participantes, para no mínimo</w:t>
      </w:r>
      <w:r>
        <w:t xml:space="preserve"> 3 meses</w:t>
      </w:r>
      <w:r w:rsidR="00C75DD7">
        <w:t>.</w:t>
      </w:r>
      <w:r>
        <w:br/>
      </w:r>
      <w:r w:rsidR="00C75DD7">
        <w:t>E</w:t>
      </w:r>
      <w:r w:rsidRPr="00F026A0">
        <w:t>m caso de impossibilidade de garantir</w:t>
      </w:r>
      <w:r>
        <w:t xml:space="preserve"> stock de reserva:</w:t>
      </w:r>
    </w:p>
    <w:p w14:paraId="75483F86" w14:textId="77777777" w:rsidR="00B26A85" w:rsidRPr="002E0AAA" w:rsidRDefault="00B26A85" w:rsidP="00B26A85">
      <w:pPr>
        <w:pStyle w:val="PargrafodaLista"/>
        <w:numPr>
          <w:ilvl w:val="1"/>
          <w:numId w:val="9"/>
        </w:numPr>
        <w:rPr>
          <w:b/>
          <w:sz w:val="24"/>
          <w:u w:val="single"/>
        </w:rPr>
      </w:pPr>
      <w:r>
        <w:t>a</w:t>
      </w:r>
      <w:r w:rsidRPr="00F026A0">
        <w:t>valiar a possibilidade de su</w:t>
      </w:r>
      <w:r>
        <w:t>s</w:t>
      </w:r>
      <w:r w:rsidRPr="00F026A0">
        <w:t xml:space="preserve">pensão do recrutamento </w:t>
      </w:r>
      <w:r>
        <w:t>de participantes</w:t>
      </w:r>
    </w:p>
    <w:p w14:paraId="6FB9F389" w14:textId="77777777" w:rsidR="00B26A85" w:rsidRPr="00F44751" w:rsidRDefault="00B26A85" w:rsidP="00B26A85">
      <w:pPr>
        <w:pStyle w:val="PargrafodaLista"/>
        <w:numPr>
          <w:ilvl w:val="1"/>
          <w:numId w:val="9"/>
        </w:numPr>
        <w:rPr>
          <w:b/>
          <w:u w:val="single"/>
        </w:rPr>
      </w:pPr>
      <w:r>
        <w:t>a</w:t>
      </w:r>
      <w:r w:rsidRPr="00F026A0">
        <w:t>valiar a necessidade de suspensão do EC, de acordo com a criticidade do estado de saúde dos participantes, indicações terapêuticas, e riscos de descontinuação (p. ex. citotóxicos)</w:t>
      </w:r>
    </w:p>
    <w:p w14:paraId="1A0FD643" w14:textId="77777777" w:rsidR="0040168D" w:rsidRDefault="0040168D">
      <w:pPr>
        <w:rPr>
          <w:b/>
        </w:rPr>
      </w:pPr>
    </w:p>
    <w:p w14:paraId="36CC7D2E" w14:textId="4A15BC3F" w:rsidR="0040168D" w:rsidRPr="00C75DD7" w:rsidRDefault="0040168D" w:rsidP="00C75DD7">
      <w:pPr>
        <w:pStyle w:val="PargrafodaLista"/>
        <w:numPr>
          <w:ilvl w:val="0"/>
          <w:numId w:val="16"/>
        </w:numPr>
        <w:spacing w:after="0"/>
        <w:rPr>
          <w:b/>
          <w:u w:val="single"/>
        </w:rPr>
      </w:pPr>
      <w:r w:rsidRPr="00C75DD7">
        <w:rPr>
          <w:b/>
          <w:u w:val="single"/>
        </w:rPr>
        <w:t xml:space="preserve">Rutura de fornecimento de </w:t>
      </w:r>
      <w:proofErr w:type="spellStart"/>
      <w:r w:rsidRPr="00C75DD7">
        <w:rPr>
          <w:b/>
          <w:u w:val="single"/>
        </w:rPr>
        <w:t>NIMPs</w:t>
      </w:r>
      <w:proofErr w:type="spellEnd"/>
      <w:r w:rsidR="00B26A85" w:rsidRPr="00C75DD7">
        <w:rPr>
          <w:b/>
          <w:u w:val="single"/>
        </w:rPr>
        <w:t xml:space="preserve">/ </w:t>
      </w:r>
      <w:r w:rsidRPr="00C75DD7">
        <w:rPr>
          <w:b/>
          <w:u w:val="single"/>
        </w:rPr>
        <w:t>Rutura de fornecimento de dispositivos médicos necessários à administração ou manipulação do ME</w:t>
      </w:r>
    </w:p>
    <w:p w14:paraId="396EB2E9" w14:textId="0AB2C81E" w:rsidR="0040168D" w:rsidRDefault="0040168D" w:rsidP="00C75DD7">
      <w:r>
        <w:t xml:space="preserve">Avaliar se pertencem à Reserva Estratégica de Medicamentos, </w:t>
      </w:r>
      <w:r w:rsidR="009B0719">
        <w:t>publicada em Diário da Repú</w:t>
      </w:r>
      <w:r>
        <w:t xml:space="preserve">blica, </w:t>
      </w:r>
      <w:r w:rsidRPr="00B600AE">
        <w:t>Despacho n.º 3219/2020</w:t>
      </w:r>
      <w:r>
        <w:t xml:space="preserve"> disponível em: </w:t>
      </w:r>
      <w:hyperlink r:id="rId10" w:history="1">
        <w:r w:rsidRPr="00794241">
          <w:rPr>
            <w:rStyle w:val="Hiperligao"/>
          </w:rPr>
          <w:t>https://dre.pt/web/guest/pesquisa/-/search/130112149/details/normal?l=1</w:t>
        </w:r>
      </w:hyperlink>
      <w:r w:rsidR="00C75DD7">
        <w:rPr>
          <w:rStyle w:val="Hiperligao"/>
        </w:rPr>
        <w:t>.</w:t>
      </w:r>
      <w:r>
        <w:t>E</w:t>
      </w:r>
      <w:r w:rsidRPr="00F026A0">
        <w:t xml:space="preserve">m caso negativo, garantir </w:t>
      </w:r>
      <w:r w:rsidRPr="00C75DD7">
        <w:rPr>
          <w:i/>
        </w:rPr>
        <w:t>stock</w:t>
      </w:r>
      <w:r w:rsidRPr="00F026A0">
        <w:t xml:space="preserve"> de reserva para os participantes, para no mínimo 3 meses</w:t>
      </w:r>
      <w:r w:rsidR="00C75DD7">
        <w:t>.</w:t>
      </w:r>
    </w:p>
    <w:p w14:paraId="1C6C5CCB" w14:textId="77777777" w:rsidR="00C75DD7" w:rsidRPr="00C75DD7" w:rsidRDefault="00C75DD7" w:rsidP="00C75DD7">
      <w:pPr>
        <w:rPr>
          <w:b/>
          <w:sz w:val="24"/>
          <w:u w:val="single"/>
        </w:rPr>
      </w:pPr>
    </w:p>
    <w:p w14:paraId="212EEDEA" w14:textId="37737D81" w:rsidR="0040168D" w:rsidRPr="002229A8" w:rsidRDefault="0040168D" w:rsidP="002229A8">
      <w:pPr>
        <w:pStyle w:val="PargrafodaLista"/>
        <w:numPr>
          <w:ilvl w:val="0"/>
          <w:numId w:val="16"/>
        </w:numPr>
        <w:rPr>
          <w:b/>
          <w:sz w:val="24"/>
          <w:u w:val="single"/>
        </w:rPr>
      </w:pPr>
      <w:r w:rsidRPr="002229A8">
        <w:rPr>
          <w:b/>
          <w:u w:val="single"/>
        </w:rPr>
        <w:lastRenderedPageBreak/>
        <w:t>Desvios ao Protocolo</w:t>
      </w:r>
    </w:p>
    <w:p w14:paraId="17CB0B2B" w14:textId="07B3CBB1" w:rsidR="00C75DD7" w:rsidRDefault="0040168D" w:rsidP="00F44751">
      <w:r w:rsidRPr="004D6F4B">
        <w:t>Os desvios ao protocolo que vierem a ocorrer devem ficar devidamente registados no SGQ do promotor</w:t>
      </w:r>
      <w:r>
        <w:t xml:space="preserve">. </w:t>
      </w:r>
    </w:p>
    <w:p w14:paraId="5BF5D42A" w14:textId="07876D56" w:rsidR="00B26A85" w:rsidRPr="002229A8" w:rsidRDefault="00B26A85" w:rsidP="002229A8">
      <w:pPr>
        <w:pStyle w:val="PargrafodaLista"/>
        <w:numPr>
          <w:ilvl w:val="0"/>
          <w:numId w:val="16"/>
        </w:numPr>
        <w:rPr>
          <w:b/>
        </w:rPr>
      </w:pPr>
      <w:r w:rsidRPr="002229A8">
        <w:rPr>
          <w:b/>
        </w:rPr>
        <w:t>Avaliação de Ensaios Clínicos de novos medicamentos para a doença Covid19</w:t>
      </w:r>
    </w:p>
    <w:p w14:paraId="00D92CDA" w14:textId="612AA68F" w:rsidR="00B26A85" w:rsidRDefault="00B26A85" w:rsidP="00B26A85">
      <w:pPr>
        <w:jc w:val="both"/>
      </w:pPr>
      <w:r>
        <w:t xml:space="preserve">O Infarmed dará prioridade à avaliação de novos ensaios clínicos destinados a tratar ou prevenir a doença pelo novo coronavírus (SARS-CoV-2). </w:t>
      </w:r>
    </w:p>
    <w:p w14:paraId="269A464B" w14:textId="6980048D" w:rsidR="00B26A85" w:rsidRDefault="00B26A85" w:rsidP="00B26A85">
      <w:pPr>
        <w:jc w:val="both"/>
      </w:pPr>
      <w:r>
        <w:t>Os requerentes deverão para tal submeter o estudo através do RNEC, identificando claramente no assunto o âmbito da doença Covid19, e enviar mail para o Infarmed (ensaios.cllinicos@infarmed.pt) e CEIC (ceic@ceic.pt), de forma a agilizar o processo com vista a uma aprovação expedita.</w:t>
      </w:r>
    </w:p>
    <w:p w14:paraId="337EA792" w14:textId="77777777" w:rsidR="00B26A85" w:rsidRDefault="00B26A85" w:rsidP="00F44751"/>
    <w:sectPr w:rsidR="00B26A85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00C78E" w14:textId="77777777" w:rsidR="003C0912" w:rsidRDefault="003C0912" w:rsidP="00D975F2">
      <w:pPr>
        <w:spacing w:after="0" w:line="240" w:lineRule="auto"/>
      </w:pPr>
      <w:r>
        <w:separator/>
      </w:r>
    </w:p>
  </w:endnote>
  <w:endnote w:type="continuationSeparator" w:id="0">
    <w:p w14:paraId="16CAADEF" w14:textId="77777777" w:rsidR="003C0912" w:rsidRDefault="003C0912" w:rsidP="00D9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49089" w14:textId="77777777" w:rsidR="003C0912" w:rsidRDefault="003C0912" w:rsidP="00D975F2">
      <w:pPr>
        <w:spacing w:after="0" w:line="240" w:lineRule="auto"/>
      </w:pPr>
      <w:r>
        <w:separator/>
      </w:r>
    </w:p>
  </w:footnote>
  <w:footnote w:type="continuationSeparator" w:id="0">
    <w:p w14:paraId="76F3071A" w14:textId="77777777" w:rsidR="003C0912" w:rsidRDefault="003C0912" w:rsidP="00D9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F220E" w14:textId="4F054FA8" w:rsidR="00D975F2" w:rsidRDefault="00D975F2">
    <w:pPr>
      <w:pStyle w:val="Cabealho"/>
    </w:pPr>
    <w:r>
      <w:rPr>
        <w:noProof/>
        <w:lang w:eastAsia="pt-PT"/>
      </w:rPr>
      <w:drawing>
        <wp:inline distT="0" distB="0" distL="0" distR="0" wp14:anchorId="358F4109" wp14:editId="1AF1EB9D">
          <wp:extent cx="5400040" cy="690789"/>
          <wp:effectExtent l="0" t="0" r="0" b="0"/>
          <wp:docPr id="1" name="Imagem 1" descr="image4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416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907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104"/>
    <w:multiLevelType w:val="hybridMultilevel"/>
    <w:tmpl w:val="8C90E57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46C90"/>
    <w:multiLevelType w:val="hybridMultilevel"/>
    <w:tmpl w:val="994A470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02D5E"/>
    <w:multiLevelType w:val="hybridMultilevel"/>
    <w:tmpl w:val="317A9B8C"/>
    <w:lvl w:ilvl="0" w:tplc="0816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3" w15:restartNumberingAfterBreak="0">
    <w:nsid w:val="1C534AF4"/>
    <w:multiLevelType w:val="hybridMultilevel"/>
    <w:tmpl w:val="1CE2773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23B57"/>
    <w:multiLevelType w:val="hybridMultilevel"/>
    <w:tmpl w:val="4B56A6C0"/>
    <w:lvl w:ilvl="0" w:tplc="08160015">
      <w:start w:val="1"/>
      <w:numFmt w:val="upperLetter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6913005"/>
    <w:multiLevelType w:val="hybridMultilevel"/>
    <w:tmpl w:val="D7380692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C2A03"/>
    <w:multiLevelType w:val="hybridMultilevel"/>
    <w:tmpl w:val="CB9A832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43FB9"/>
    <w:multiLevelType w:val="hybridMultilevel"/>
    <w:tmpl w:val="BDB2E688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D131A9"/>
    <w:multiLevelType w:val="hybridMultilevel"/>
    <w:tmpl w:val="EC562004"/>
    <w:lvl w:ilvl="0" w:tplc="0816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2B958AD"/>
    <w:multiLevelType w:val="hybridMultilevel"/>
    <w:tmpl w:val="1CE27732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B2CCC"/>
    <w:multiLevelType w:val="hybridMultilevel"/>
    <w:tmpl w:val="BC8E1C16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F514E"/>
    <w:multiLevelType w:val="hybridMultilevel"/>
    <w:tmpl w:val="07F20F8C"/>
    <w:lvl w:ilvl="0" w:tplc="08160015">
      <w:start w:val="1"/>
      <w:numFmt w:val="upperLetter"/>
      <w:lvlText w:val="%1."/>
      <w:lvlJc w:val="left"/>
      <w:pPr>
        <w:ind w:left="1068" w:hanging="360"/>
      </w:p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B195D84"/>
    <w:multiLevelType w:val="hybridMultilevel"/>
    <w:tmpl w:val="A1D0543A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0569D"/>
    <w:multiLevelType w:val="hybridMultilevel"/>
    <w:tmpl w:val="EC24E530"/>
    <w:lvl w:ilvl="0" w:tplc="0816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51EF7"/>
    <w:multiLevelType w:val="hybridMultilevel"/>
    <w:tmpl w:val="64E64EA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058F4"/>
    <w:multiLevelType w:val="hybridMultilevel"/>
    <w:tmpl w:val="9F1EB8B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15"/>
  </w:num>
  <w:num w:numId="9">
    <w:abstractNumId w:val="14"/>
  </w:num>
  <w:num w:numId="10">
    <w:abstractNumId w:val="10"/>
  </w:num>
  <w:num w:numId="11">
    <w:abstractNumId w:val="3"/>
  </w:num>
  <w:num w:numId="12">
    <w:abstractNumId w:val="13"/>
  </w:num>
  <w:num w:numId="13">
    <w:abstractNumId w:val="8"/>
  </w:num>
  <w:num w:numId="14">
    <w:abstractNumId w:val="4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48C"/>
    <w:rsid w:val="00006199"/>
    <w:rsid w:val="000308D4"/>
    <w:rsid w:val="00066604"/>
    <w:rsid w:val="000855B2"/>
    <w:rsid w:val="000D5EB2"/>
    <w:rsid w:val="00101E64"/>
    <w:rsid w:val="0014654D"/>
    <w:rsid w:val="00171035"/>
    <w:rsid w:val="0017233C"/>
    <w:rsid w:val="00174E0E"/>
    <w:rsid w:val="00176760"/>
    <w:rsid w:val="001C3D91"/>
    <w:rsid w:val="001C40BF"/>
    <w:rsid w:val="001E56C6"/>
    <w:rsid w:val="002138D4"/>
    <w:rsid w:val="002229A8"/>
    <w:rsid w:val="00246F83"/>
    <w:rsid w:val="0025257C"/>
    <w:rsid w:val="002E0AAA"/>
    <w:rsid w:val="003274E7"/>
    <w:rsid w:val="00335CFE"/>
    <w:rsid w:val="003A290B"/>
    <w:rsid w:val="003B05E5"/>
    <w:rsid w:val="003B3A78"/>
    <w:rsid w:val="003B476C"/>
    <w:rsid w:val="003C0912"/>
    <w:rsid w:val="003E18C3"/>
    <w:rsid w:val="003F441F"/>
    <w:rsid w:val="004013C0"/>
    <w:rsid w:val="0040168D"/>
    <w:rsid w:val="00415153"/>
    <w:rsid w:val="00416F9C"/>
    <w:rsid w:val="0042438D"/>
    <w:rsid w:val="00427693"/>
    <w:rsid w:val="0047454D"/>
    <w:rsid w:val="00487C7A"/>
    <w:rsid w:val="004A32A4"/>
    <w:rsid w:val="004C2D96"/>
    <w:rsid w:val="004D6F4B"/>
    <w:rsid w:val="0051563F"/>
    <w:rsid w:val="00524FD8"/>
    <w:rsid w:val="00532FA3"/>
    <w:rsid w:val="00535DD6"/>
    <w:rsid w:val="00546090"/>
    <w:rsid w:val="00555B32"/>
    <w:rsid w:val="00561162"/>
    <w:rsid w:val="0056163A"/>
    <w:rsid w:val="00570CA0"/>
    <w:rsid w:val="005A2905"/>
    <w:rsid w:val="005A678E"/>
    <w:rsid w:val="005B10E0"/>
    <w:rsid w:val="005B1B3E"/>
    <w:rsid w:val="005E5035"/>
    <w:rsid w:val="00611A44"/>
    <w:rsid w:val="00621B1E"/>
    <w:rsid w:val="006378BA"/>
    <w:rsid w:val="00642435"/>
    <w:rsid w:val="00655B78"/>
    <w:rsid w:val="0066298F"/>
    <w:rsid w:val="00683DD6"/>
    <w:rsid w:val="006A07C9"/>
    <w:rsid w:val="00743273"/>
    <w:rsid w:val="00782A86"/>
    <w:rsid w:val="007D3527"/>
    <w:rsid w:val="007E0101"/>
    <w:rsid w:val="008133B5"/>
    <w:rsid w:val="00830C87"/>
    <w:rsid w:val="00872C58"/>
    <w:rsid w:val="008831ED"/>
    <w:rsid w:val="00897EFA"/>
    <w:rsid w:val="008B1B87"/>
    <w:rsid w:val="008F1ECE"/>
    <w:rsid w:val="008F29FF"/>
    <w:rsid w:val="00901BFD"/>
    <w:rsid w:val="0093048C"/>
    <w:rsid w:val="00954CBA"/>
    <w:rsid w:val="00960924"/>
    <w:rsid w:val="00960F30"/>
    <w:rsid w:val="00992BA3"/>
    <w:rsid w:val="009A3FE8"/>
    <w:rsid w:val="009B0719"/>
    <w:rsid w:val="009D5E75"/>
    <w:rsid w:val="00A1015C"/>
    <w:rsid w:val="00A84156"/>
    <w:rsid w:val="00A93C7B"/>
    <w:rsid w:val="00AD5780"/>
    <w:rsid w:val="00AE52AD"/>
    <w:rsid w:val="00AF4FE8"/>
    <w:rsid w:val="00B10B12"/>
    <w:rsid w:val="00B26A85"/>
    <w:rsid w:val="00B42D38"/>
    <w:rsid w:val="00B46A77"/>
    <w:rsid w:val="00B600AE"/>
    <w:rsid w:val="00B73464"/>
    <w:rsid w:val="00B94FC2"/>
    <w:rsid w:val="00BC33D1"/>
    <w:rsid w:val="00BE0C54"/>
    <w:rsid w:val="00C17128"/>
    <w:rsid w:val="00C75DD7"/>
    <w:rsid w:val="00C95938"/>
    <w:rsid w:val="00C96204"/>
    <w:rsid w:val="00CA61CC"/>
    <w:rsid w:val="00D0025A"/>
    <w:rsid w:val="00D05437"/>
    <w:rsid w:val="00D15CA1"/>
    <w:rsid w:val="00D86F49"/>
    <w:rsid w:val="00D91AD5"/>
    <w:rsid w:val="00D975F2"/>
    <w:rsid w:val="00E44630"/>
    <w:rsid w:val="00E6507F"/>
    <w:rsid w:val="00E83501"/>
    <w:rsid w:val="00E86CDD"/>
    <w:rsid w:val="00E90798"/>
    <w:rsid w:val="00EB6EB7"/>
    <w:rsid w:val="00ED21C1"/>
    <w:rsid w:val="00F026A0"/>
    <w:rsid w:val="00F357DD"/>
    <w:rsid w:val="00F44751"/>
    <w:rsid w:val="00F528F4"/>
    <w:rsid w:val="00F874A0"/>
    <w:rsid w:val="00F922A7"/>
    <w:rsid w:val="00FC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1DBCD"/>
  <w15:chartTrackingRefBased/>
  <w15:docId w15:val="{6815FD5D-AF7E-413F-ADDE-2FF4DEFBF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3048C"/>
    <w:pPr>
      <w:ind w:left="720"/>
      <w:contextualSpacing/>
    </w:pPr>
  </w:style>
  <w:style w:type="table" w:styleId="Tabelacomgrelha">
    <w:name w:val="Table Grid"/>
    <w:basedOn w:val="Tabelanormal"/>
    <w:uiPriority w:val="39"/>
    <w:rsid w:val="00F02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B600A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4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441F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55B32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555B32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555B32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55B32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55B32"/>
    <w:rPr>
      <w:b/>
      <w:bCs/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D9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975F2"/>
  </w:style>
  <w:style w:type="paragraph" w:styleId="Rodap">
    <w:name w:val="footer"/>
    <w:basedOn w:val="Normal"/>
    <w:link w:val="RodapCarter"/>
    <w:uiPriority w:val="99"/>
    <w:unhideWhenUsed/>
    <w:rsid w:val="00D975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975F2"/>
  </w:style>
  <w:style w:type="paragraph" w:styleId="Reviso">
    <w:name w:val="Revision"/>
    <w:hidden/>
    <w:uiPriority w:val="99"/>
    <w:semiHidden/>
    <w:rsid w:val="0040168D"/>
    <w:pPr>
      <w:spacing w:after="0" w:line="240" w:lineRule="auto"/>
    </w:pPr>
  </w:style>
  <w:style w:type="character" w:styleId="Hiperligaovisitada">
    <w:name w:val="FollowedHyperlink"/>
    <w:basedOn w:val="Tipodeletrapredefinidodopargrafo"/>
    <w:uiPriority w:val="99"/>
    <w:semiHidden/>
    <w:unhideWhenUsed/>
    <w:rsid w:val="00B26A85"/>
    <w:rPr>
      <w:color w:val="954F72" w:themeColor="followedHyperlink"/>
      <w:u w:val="single"/>
    </w:rPr>
  </w:style>
  <w:style w:type="character" w:customStyle="1" w:styleId="tlid-translation">
    <w:name w:val="tlid-translation"/>
    <w:basedOn w:val="Tipodeletrapredefinidodopargrafo"/>
    <w:rsid w:val="00570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.europa.eu/en/news/guidance-sponsors-how-manage-clinical-trials-during-covid-19-pandemic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re.pt/web/guest/pesquisa/-/search/130112149/details/normal?l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ma.europa.eu/en/human-regulatory/research-development/compliance/good-clinical-practice/qa-good-clinical-practice-gc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559F9-95C8-495A-BD7A-65A9C80BB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1707</Words>
  <Characters>9224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Ferrão</dc:creator>
  <cp:keywords/>
  <dc:description/>
  <cp:lastModifiedBy>Joel Passarinho</cp:lastModifiedBy>
  <cp:revision>8</cp:revision>
  <dcterms:created xsi:type="dcterms:W3CDTF">2020-03-25T00:32:00Z</dcterms:created>
  <dcterms:modified xsi:type="dcterms:W3CDTF">2020-03-25T08:34:00Z</dcterms:modified>
</cp:coreProperties>
</file>