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548" w:rsidRPr="00DB2F82" w:rsidRDefault="0026737E" w:rsidP="00BA23C9">
      <w:pPr>
        <w:pStyle w:val="RefAgency"/>
        <w:suppressLineNumbers/>
        <w:tabs>
          <w:tab w:val="left" w:pos="1277"/>
        </w:tabs>
      </w:pPr>
      <w:r w:rsidRPr="00DB2F82">
        <w:t>1</w:t>
      </w:r>
      <w:r w:rsidR="00AE40A9">
        <w:t>6</w:t>
      </w:r>
      <w:r w:rsidRPr="00DB2F82">
        <w:t xml:space="preserve"> November </w:t>
      </w:r>
      <w:r w:rsidR="00541468" w:rsidRPr="00DB2F82">
        <w:t>2020</w:t>
      </w:r>
    </w:p>
    <w:p w:rsidR="00E310E1" w:rsidRPr="00DB2F82" w:rsidRDefault="0026737E" w:rsidP="00BA23C9">
      <w:pPr>
        <w:pStyle w:val="RefAgency"/>
        <w:suppressLineNumbers/>
        <w:tabs>
          <w:tab w:val="left" w:pos="1287"/>
        </w:tabs>
      </w:pPr>
      <w:r w:rsidRPr="00DB2F82">
        <w:rPr>
          <w:szCs w:val="15"/>
        </w:rPr>
        <w:fldChar w:fldCharType="begin"/>
      </w:r>
      <w:r w:rsidRPr="00DB2F82">
        <w:rPr>
          <w:szCs w:val="15"/>
        </w:rPr>
        <w:instrText xml:space="preserve"> IF </w:instrText>
      </w:r>
      <w:r w:rsidR="00547D3D" w:rsidRPr="00DB2F82">
        <w:fldChar w:fldCharType="begin"/>
      </w:r>
      <w:r w:rsidRPr="00DB2F82">
        <w:instrText xml:space="preserve"> DOCPROPERTY "DM_emea_doc_ref_id"  \* MERGEFORMAT </w:instrText>
      </w:r>
      <w:r w:rsidR="00547D3D" w:rsidRPr="00DB2F82">
        <w:fldChar w:fldCharType="separate"/>
      </w:r>
      <w:r w:rsidR="00547D3D" w:rsidRPr="00DB2F82">
        <w:instrText>EMA/592928/2020</w:instrText>
      </w:r>
      <w:r w:rsidR="00547D3D" w:rsidRPr="00DB2F82">
        <w:fldChar w:fldCharType="end"/>
      </w:r>
      <w:r w:rsidRPr="00DB2F82">
        <w:rPr>
          <w:szCs w:val="15"/>
        </w:rPr>
        <w:instrText xml:space="preserve"> &lt;&gt; "Error*"</w:instrText>
      </w:r>
      <w:r w:rsidR="00547D3D" w:rsidRPr="00DB2F82">
        <w:fldChar w:fldCharType="begin"/>
      </w:r>
      <w:r w:rsidRPr="00DB2F82">
        <w:instrText xml:space="preserve"> DOCPROPERTY "DM_emea_doc_ref_id"  \* MERGEFORMAT </w:instrText>
      </w:r>
      <w:r w:rsidR="00547D3D" w:rsidRPr="00DB2F82">
        <w:fldChar w:fldCharType="separate"/>
      </w:r>
      <w:r w:rsidR="00547D3D" w:rsidRPr="00DB2F82">
        <w:instrText>EMA/592928/2020</w:instrText>
      </w:r>
      <w:r w:rsidR="00547D3D" w:rsidRPr="00DB2F82">
        <w:fldChar w:fldCharType="end"/>
      </w:r>
      <w:r w:rsidRPr="00DB2F82">
        <w:rPr>
          <w:szCs w:val="15"/>
        </w:rPr>
        <w:instrText xml:space="preserve"> \* MERGEFORMAT </w:instrText>
      </w:r>
      <w:r w:rsidRPr="00DB2F82">
        <w:rPr>
          <w:szCs w:val="15"/>
        </w:rPr>
        <w:fldChar w:fldCharType="separate"/>
      </w:r>
      <w:r w:rsidR="00547D3D" w:rsidRPr="00DB2F82">
        <w:rPr>
          <w:noProof/>
        </w:rPr>
        <w:t>EMA</w:t>
      </w:r>
      <w:r w:rsidRPr="00DB2F82">
        <w:t>/592928/2020</w:t>
      </w:r>
      <w:r w:rsidRPr="00DB2F82">
        <w:rPr>
          <w:szCs w:val="15"/>
        </w:rPr>
        <w:fldChar w:fldCharType="end"/>
      </w:r>
      <w:bookmarkStart w:id="0" w:name="Head"/>
      <w:bookmarkEnd w:id="0"/>
    </w:p>
    <w:p w:rsidR="00E310E1" w:rsidRDefault="0026737E" w:rsidP="00BA23C9">
      <w:pPr>
        <w:pStyle w:val="RefAgency"/>
        <w:suppressLineNumbers/>
        <w:tabs>
          <w:tab w:val="left" w:pos="1287"/>
        </w:tabs>
        <w:rPr>
          <w:szCs w:val="15"/>
        </w:rPr>
      </w:pPr>
      <w:r w:rsidRPr="00DB2F82">
        <w:rPr>
          <w:szCs w:val="15"/>
        </w:rPr>
        <w:t>Committee for human medicinal products</w:t>
      </w:r>
      <w:r w:rsidR="002211C4" w:rsidRPr="00DB2F82">
        <w:rPr>
          <w:szCs w:val="15"/>
        </w:rPr>
        <w:t xml:space="preserve"> (CHMP)</w:t>
      </w:r>
    </w:p>
    <w:p w:rsidR="0026737E" w:rsidRDefault="0026737E" w:rsidP="0026737E">
      <w:pPr>
        <w:pStyle w:val="PRESSRELEASEPR"/>
        <w:pBdr>
          <w:top w:val="single" w:sz="4" w:space="1" w:color="FF0000"/>
          <w:left w:val="single" w:sz="4" w:space="0" w:color="FF0000"/>
          <w:bottom w:val="single" w:sz="4" w:space="1" w:color="FF0000"/>
          <w:right w:val="single" w:sz="4" w:space="4" w:color="FF0000"/>
        </w:pBdr>
        <w:outlineLvl w:val="0"/>
        <w:rPr>
          <w:rFonts w:ascii="Verdana" w:hAnsi="Verdana"/>
          <w:color w:val="FF0000"/>
          <w:sz w:val="24"/>
          <w:szCs w:val="24"/>
        </w:rPr>
      </w:pPr>
      <w:bookmarkStart w:id="1" w:name="_Hlk26522550"/>
      <w:r>
        <w:rPr>
          <w:rFonts w:ascii="Verdana" w:hAnsi="Verdana"/>
          <w:color w:val="FF0000"/>
          <w:sz w:val="24"/>
          <w:szCs w:val="24"/>
        </w:rPr>
        <w:t>EMBARGO – DO NOT PUBLISH BEFORE</w:t>
      </w:r>
    </w:p>
    <w:p w:rsidR="0026737E" w:rsidRDefault="0026737E" w:rsidP="0026737E">
      <w:pPr>
        <w:pStyle w:val="PRESSRELEASEPR"/>
        <w:pBdr>
          <w:top w:val="single" w:sz="4" w:space="1" w:color="FF0000"/>
          <w:left w:val="single" w:sz="4" w:space="0" w:color="FF0000"/>
          <w:bottom w:val="single" w:sz="4" w:space="1" w:color="FF0000"/>
          <w:right w:val="single" w:sz="4" w:space="4" w:color="FF0000"/>
        </w:pBdr>
        <w:rPr>
          <w:rFonts w:ascii="Verdana" w:hAnsi="Verdana"/>
          <w:color w:val="FF0000"/>
          <w:sz w:val="24"/>
          <w:szCs w:val="24"/>
        </w:rPr>
      </w:pPr>
      <w:r>
        <w:rPr>
          <w:rFonts w:ascii="Verdana" w:hAnsi="Verdana"/>
          <w:color w:val="FF0000"/>
          <w:sz w:val="24"/>
          <w:szCs w:val="24"/>
        </w:rPr>
        <w:t>Thursday, 19 november 2020, 12:00 hrs noon cet</w:t>
      </w:r>
    </w:p>
    <w:bookmarkEnd w:id="1"/>
    <w:p w:rsidR="0026737E" w:rsidRPr="00DB2F82" w:rsidRDefault="0026737E" w:rsidP="00BA23C9">
      <w:pPr>
        <w:pStyle w:val="RefAgency"/>
        <w:suppressLineNumbers/>
        <w:tabs>
          <w:tab w:val="left" w:pos="1287"/>
        </w:tabs>
        <w:rPr>
          <w:szCs w:val="15"/>
        </w:rPr>
      </w:pPr>
    </w:p>
    <w:p w:rsidR="00E310E1" w:rsidRPr="00DB2F82" w:rsidRDefault="0026737E" w:rsidP="00BA23C9">
      <w:pPr>
        <w:pStyle w:val="DoctitleAgency"/>
        <w:suppressLineNumbers/>
      </w:pPr>
      <w:bookmarkStart w:id="2" w:name="_GoBack"/>
      <w:r w:rsidRPr="00DB2F82">
        <w:t xml:space="preserve">EMA considerations on </w:t>
      </w:r>
      <w:r w:rsidR="00912CBE" w:rsidRPr="00DB2F82">
        <w:t>C</w:t>
      </w:r>
      <w:r w:rsidRPr="00DB2F82">
        <w:t>ovid-19 vaccine approval</w:t>
      </w:r>
    </w:p>
    <w:bookmarkEnd w:id="2"/>
    <w:p w:rsidR="00E310E1" w:rsidRPr="00DB2F82" w:rsidRDefault="00E310E1" w:rsidP="00BA23C9">
      <w:pPr>
        <w:pStyle w:val="DocsubtitleAgency"/>
        <w:suppressLineNumbers/>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6736"/>
        <w:gridCol w:w="2667"/>
      </w:tblGrid>
      <w:tr w:rsidR="009759A4" w:rsidTr="000368C4">
        <w:tc>
          <w:tcPr>
            <w:tcW w:w="3582" w:type="pct"/>
            <w:shd w:val="clear" w:color="auto" w:fill="auto"/>
          </w:tcPr>
          <w:p w:rsidR="00E310E1" w:rsidRPr="00DB2F82" w:rsidRDefault="0026737E" w:rsidP="00BA23C9">
            <w:pPr>
              <w:pStyle w:val="TabletextrowsAgency"/>
              <w:suppressLineNumbers/>
              <w:spacing w:before="120" w:after="120"/>
            </w:pPr>
            <w:r w:rsidRPr="00DB2F82">
              <w:t xml:space="preserve">Draft </w:t>
            </w:r>
            <w:r w:rsidR="002610E0" w:rsidRPr="00DB2F82">
              <w:t>a</w:t>
            </w:r>
            <w:r w:rsidRPr="00DB2F82">
              <w:t xml:space="preserve">greed by </w:t>
            </w:r>
            <w:bookmarkStart w:id="3" w:name="_Ref252882539"/>
            <w:r w:rsidR="00A66C62" w:rsidRPr="00DB2F82">
              <w:t>ETF</w:t>
            </w:r>
            <w:r>
              <w:rPr>
                <w:rStyle w:val="FootnotereferenceAgency"/>
              </w:rPr>
              <w:footnoteReference w:id="1"/>
            </w:r>
            <w:bookmarkEnd w:id="3"/>
          </w:p>
        </w:tc>
        <w:tc>
          <w:tcPr>
            <w:tcW w:w="1418" w:type="pct"/>
            <w:shd w:val="clear" w:color="auto" w:fill="auto"/>
          </w:tcPr>
          <w:p w:rsidR="00E310E1" w:rsidRPr="00DB2F82" w:rsidRDefault="0026737E" w:rsidP="00BA23C9">
            <w:pPr>
              <w:pStyle w:val="TabletextrowsAgency"/>
              <w:suppressLineNumbers/>
              <w:spacing w:before="120" w:after="120"/>
              <w:jc w:val="right"/>
            </w:pPr>
            <w:r w:rsidRPr="00DB2F82">
              <w:t>12 November 2020</w:t>
            </w:r>
          </w:p>
        </w:tc>
      </w:tr>
      <w:tr w:rsidR="009759A4" w:rsidTr="000368C4">
        <w:tc>
          <w:tcPr>
            <w:tcW w:w="3582" w:type="pct"/>
            <w:shd w:val="clear" w:color="auto" w:fill="auto"/>
          </w:tcPr>
          <w:p w:rsidR="00E310E1" w:rsidRPr="00DB2F82" w:rsidRDefault="0026737E" w:rsidP="00BA23C9">
            <w:pPr>
              <w:pStyle w:val="TabletextrowsAgency"/>
              <w:suppressLineNumbers/>
              <w:spacing w:before="120" w:after="120"/>
            </w:pPr>
            <w:r w:rsidRPr="00DB2F82">
              <w:t xml:space="preserve">Adopted by </w:t>
            </w:r>
            <w:r w:rsidR="00A66C62" w:rsidRPr="00DB2F82">
              <w:t>CHMP</w:t>
            </w:r>
          </w:p>
        </w:tc>
        <w:tc>
          <w:tcPr>
            <w:tcW w:w="1418" w:type="pct"/>
            <w:shd w:val="clear" w:color="auto" w:fill="auto"/>
          </w:tcPr>
          <w:p w:rsidR="00E310E1" w:rsidRPr="00DB2F82" w:rsidRDefault="0026737E" w:rsidP="00BA23C9">
            <w:pPr>
              <w:pStyle w:val="TabletextrowsAgency"/>
              <w:suppressLineNumbers/>
              <w:spacing w:before="120" w:after="120"/>
              <w:jc w:val="right"/>
            </w:pPr>
            <w:r w:rsidRPr="00DB2F82">
              <w:t>16 November 2020</w:t>
            </w:r>
          </w:p>
        </w:tc>
      </w:tr>
    </w:tbl>
    <w:p w:rsidR="0057452F" w:rsidRPr="00DB2F82" w:rsidRDefault="0057452F" w:rsidP="00BA23C9">
      <w:pPr>
        <w:pStyle w:val="NormalAgency"/>
        <w:suppressLineNumbers/>
      </w:pPr>
    </w:p>
    <w:p w:rsidR="00E310E1" w:rsidRPr="00DB2F82" w:rsidRDefault="00E310E1" w:rsidP="00BA23C9">
      <w:pPr>
        <w:pStyle w:val="NormalAgency"/>
        <w:suppressLineNumbers/>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2106"/>
        <w:gridCol w:w="7297"/>
      </w:tblGrid>
      <w:tr w:rsidR="009759A4" w:rsidTr="000368C4">
        <w:tc>
          <w:tcPr>
            <w:tcW w:w="1120" w:type="pct"/>
            <w:shd w:val="clear" w:color="auto" w:fill="auto"/>
          </w:tcPr>
          <w:p w:rsidR="00E310E1" w:rsidRPr="00DB2F82" w:rsidRDefault="0026737E" w:rsidP="00BA23C9">
            <w:pPr>
              <w:pStyle w:val="TabletextrowsAgency"/>
              <w:suppressLineNumbers/>
            </w:pPr>
            <w:r w:rsidRPr="00DB2F82">
              <w:t>Keywords</w:t>
            </w:r>
          </w:p>
        </w:tc>
        <w:tc>
          <w:tcPr>
            <w:tcW w:w="3880" w:type="pct"/>
            <w:shd w:val="clear" w:color="auto" w:fill="auto"/>
          </w:tcPr>
          <w:p w:rsidR="00E310E1" w:rsidRPr="00DB2F82" w:rsidRDefault="0026737E" w:rsidP="00BA23C9">
            <w:pPr>
              <w:pStyle w:val="TabletextrowsAgency"/>
              <w:suppressLineNumbers/>
            </w:pPr>
            <w:r w:rsidRPr="00DB2F82">
              <w:t>COVID-19, SARS-CoV-2, vaccine, clinical requirements, clinical efficacy, clinical safety</w:t>
            </w:r>
          </w:p>
        </w:tc>
      </w:tr>
    </w:tbl>
    <w:p w:rsidR="00E310E1" w:rsidRPr="00DB2F82" w:rsidRDefault="00E310E1" w:rsidP="00BA23C9">
      <w:pPr>
        <w:pStyle w:val="BodytextAgency"/>
        <w:suppressLineNumbers/>
      </w:pPr>
    </w:p>
    <w:p w:rsidR="00A66C62" w:rsidRPr="00DB2F82" w:rsidRDefault="0026737E" w:rsidP="00BA23C9">
      <w:pPr>
        <w:suppressLineNumbers/>
        <w:rPr>
          <w:rFonts w:eastAsia="Verdana"/>
          <w:color w:val="003399"/>
          <w:sz w:val="32"/>
          <w:szCs w:val="32"/>
        </w:rPr>
      </w:pPr>
      <w:r w:rsidRPr="00DB2F82">
        <w:br w:type="page"/>
      </w:r>
    </w:p>
    <w:p w:rsidR="00A66C62" w:rsidRPr="00DB2F82" w:rsidRDefault="0026737E" w:rsidP="00BA23C9">
      <w:pPr>
        <w:pStyle w:val="DoctitleAgency"/>
        <w:suppressLineNumbers/>
      </w:pPr>
      <w:r w:rsidRPr="00DB2F82">
        <w:lastRenderedPageBreak/>
        <w:t>EMA</w:t>
      </w:r>
      <w:r w:rsidRPr="00DB2F82">
        <w:t xml:space="preserve"> considerations on </w:t>
      </w:r>
      <w:r w:rsidR="00541468" w:rsidRPr="00DB2F82">
        <w:t>C</w:t>
      </w:r>
      <w:r w:rsidRPr="00DB2F82">
        <w:t>ovid-19 vaccine approval</w:t>
      </w:r>
    </w:p>
    <w:p w:rsidR="00E310E1" w:rsidRPr="00DB2F82" w:rsidRDefault="0026737E" w:rsidP="00BA23C9">
      <w:pPr>
        <w:pStyle w:val="No-TOCheadingAgency"/>
        <w:suppressLineNumbers/>
      </w:pPr>
      <w:r w:rsidRPr="00DB2F82">
        <w:t>Table of contents</w:t>
      </w:r>
    </w:p>
    <w:p w:rsidR="00BA23C9" w:rsidRDefault="0026737E" w:rsidP="00BA23C9">
      <w:pPr>
        <w:pStyle w:val="TOC1"/>
        <w:suppressLineNumbers/>
        <w:rPr>
          <w:rFonts w:asciiTheme="minorHAnsi" w:eastAsiaTheme="minorEastAsia" w:hAnsiTheme="minorHAnsi" w:cstheme="minorBidi"/>
          <w:b w:val="0"/>
        </w:rPr>
      </w:pPr>
      <w:r w:rsidRPr="00DB2F82">
        <w:rPr>
          <w:bCs/>
          <w:caps/>
          <w:color w:val="000000"/>
          <w:szCs w:val="20"/>
        </w:rPr>
        <w:fldChar w:fldCharType="begin"/>
      </w:r>
      <w:r w:rsidRPr="00DB2F82">
        <w:rPr>
          <w:bCs/>
          <w:caps/>
          <w:color w:val="000000"/>
          <w:szCs w:val="20"/>
        </w:rPr>
        <w:instrText xml:space="preserve"> TOC \o "1-3" \h \z </w:instrText>
      </w:r>
      <w:r w:rsidRPr="00DB2F82">
        <w:rPr>
          <w:bCs/>
          <w:caps/>
          <w:color w:val="000000"/>
          <w:szCs w:val="20"/>
        </w:rPr>
        <w:fldChar w:fldCharType="separate"/>
      </w:r>
      <w:hyperlink w:anchor="_Toc56507421" w:history="1">
        <w:r w:rsidRPr="00226A41">
          <w:rPr>
            <w:rStyle w:val="Hyperlink"/>
          </w:rPr>
          <w:t>1. Introduction</w:t>
        </w:r>
        <w:r>
          <w:rPr>
            <w:webHidden/>
          </w:rPr>
          <w:tab/>
        </w:r>
        <w:r>
          <w:rPr>
            <w:webHidden/>
          </w:rPr>
          <w:fldChar w:fldCharType="begin"/>
        </w:r>
        <w:r>
          <w:rPr>
            <w:webHidden/>
          </w:rPr>
          <w:instrText xml:space="preserve"> PAGEREF _Toc56507421 \h </w:instrText>
        </w:r>
        <w:r>
          <w:rPr>
            <w:webHidden/>
          </w:rPr>
        </w:r>
        <w:r>
          <w:rPr>
            <w:webHidden/>
          </w:rPr>
          <w:fldChar w:fldCharType="separate"/>
        </w:r>
        <w:r>
          <w:rPr>
            <w:webHidden/>
          </w:rPr>
          <w:t>3</w:t>
        </w:r>
        <w:r>
          <w:rPr>
            <w:webHidden/>
          </w:rPr>
          <w:fldChar w:fldCharType="end"/>
        </w:r>
      </w:hyperlink>
    </w:p>
    <w:p w:rsidR="00BA23C9" w:rsidRDefault="0026737E" w:rsidP="00BA23C9">
      <w:pPr>
        <w:pStyle w:val="TOC1"/>
        <w:suppressLineNumbers/>
        <w:rPr>
          <w:rFonts w:asciiTheme="minorHAnsi" w:eastAsiaTheme="minorEastAsia" w:hAnsiTheme="minorHAnsi" w:cstheme="minorBidi"/>
          <w:b w:val="0"/>
        </w:rPr>
      </w:pPr>
      <w:hyperlink w:anchor="_Toc56507422" w:history="1">
        <w:r w:rsidRPr="00226A41">
          <w:rPr>
            <w:rStyle w:val="Hyperlink"/>
          </w:rPr>
          <w:t>2.</w:t>
        </w:r>
        <w:r w:rsidRPr="00226A41">
          <w:rPr>
            <w:rStyle w:val="Hyperlink"/>
          </w:rPr>
          <w:t xml:space="preserve"> Discussion</w:t>
        </w:r>
        <w:r>
          <w:rPr>
            <w:webHidden/>
          </w:rPr>
          <w:tab/>
        </w:r>
        <w:r>
          <w:rPr>
            <w:webHidden/>
          </w:rPr>
          <w:fldChar w:fldCharType="begin"/>
        </w:r>
        <w:r>
          <w:rPr>
            <w:webHidden/>
          </w:rPr>
          <w:instrText xml:space="preserve"> PAGEREF _Toc56507422 \h </w:instrText>
        </w:r>
        <w:r>
          <w:rPr>
            <w:webHidden/>
          </w:rPr>
        </w:r>
        <w:r>
          <w:rPr>
            <w:webHidden/>
          </w:rPr>
          <w:fldChar w:fldCharType="separate"/>
        </w:r>
        <w:r>
          <w:rPr>
            <w:webHidden/>
          </w:rPr>
          <w:t>3</w:t>
        </w:r>
        <w:r>
          <w:rPr>
            <w:webHidden/>
          </w:rPr>
          <w:fldChar w:fldCharType="end"/>
        </w:r>
      </w:hyperlink>
    </w:p>
    <w:p w:rsidR="00BA23C9" w:rsidRDefault="0026737E" w:rsidP="00BA23C9">
      <w:pPr>
        <w:pStyle w:val="TOC2"/>
        <w:suppressLineNumbers/>
        <w:rPr>
          <w:rFonts w:asciiTheme="minorHAnsi" w:eastAsiaTheme="minorEastAsia" w:hAnsiTheme="minorHAnsi" w:cstheme="minorBidi"/>
          <w:sz w:val="22"/>
          <w:szCs w:val="22"/>
        </w:rPr>
      </w:pPr>
      <w:hyperlink w:anchor="_Toc56507423" w:history="1">
        <w:r w:rsidRPr="00226A41">
          <w:rPr>
            <w:rStyle w:val="Hyperlink"/>
          </w:rPr>
          <w:t>Clinical requirements for marketing authorisation (MA)</w:t>
        </w:r>
        <w:r>
          <w:rPr>
            <w:webHidden/>
          </w:rPr>
          <w:tab/>
        </w:r>
        <w:r>
          <w:rPr>
            <w:webHidden/>
          </w:rPr>
          <w:fldChar w:fldCharType="begin"/>
        </w:r>
        <w:r>
          <w:rPr>
            <w:webHidden/>
          </w:rPr>
          <w:instrText xml:space="preserve"> PAGEREF _Toc56507423 \h </w:instrText>
        </w:r>
        <w:r>
          <w:rPr>
            <w:webHidden/>
          </w:rPr>
        </w:r>
        <w:r>
          <w:rPr>
            <w:webHidden/>
          </w:rPr>
          <w:fldChar w:fldCharType="separate"/>
        </w:r>
        <w:r>
          <w:rPr>
            <w:webHidden/>
          </w:rPr>
          <w:t>3</w:t>
        </w:r>
        <w:r>
          <w:rPr>
            <w:webHidden/>
          </w:rPr>
          <w:fldChar w:fldCharType="end"/>
        </w:r>
      </w:hyperlink>
    </w:p>
    <w:p w:rsidR="00BA23C9" w:rsidRDefault="0026737E" w:rsidP="00BA23C9">
      <w:pPr>
        <w:pStyle w:val="TOC2"/>
        <w:suppressLineNumbers/>
        <w:rPr>
          <w:rFonts w:asciiTheme="minorHAnsi" w:eastAsiaTheme="minorEastAsia" w:hAnsiTheme="minorHAnsi" w:cstheme="minorBidi"/>
          <w:sz w:val="22"/>
          <w:szCs w:val="22"/>
        </w:rPr>
      </w:pPr>
      <w:hyperlink w:anchor="_Toc56507424" w:history="1">
        <w:r w:rsidRPr="00226A41">
          <w:rPr>
            <w:rStyle w:val="Hyperlink"/>
          </w:rPr>
          <w:t>Clinical efficacy</w:t>
        </w:r>
        <w:r>
          <w:rPr>
            <w:webHidden/>
          </w:rPr>
          <w:tab/>
        </w:r>
        <w:r>
          <w:rPr>
            <w:webHidden/>
          </w:rPr>
          <w:fldChar w:fldCharType="begin"/>
        </w:r>
        <w:r>
          <w:rPr>
            <w:webHidden/>
          </w:rPr>
          <w:instrText xml:space="preserve"> PAGEREF _Toc56507424 \h </w:instrText>
        </w:r>
        <w:r>
          <w:rPr>
            <w:webHidden/>
          </w:rPr>
        </w:r>
        <w:r>
          <w:rPr>
            <w:webHidden/>
          </w:rPr>
          <w:fldChar w:fldCharType="separate"/>
        </w:r>
        <w:r>
          <w:rPr>
            <w:webHidden/>
          </w:rPr>
          <w:t>3</w:t>
        </w:r>
        <w:r>
          <w:rPr>
            <w:webHidden/>
          </w:rPr>
          <w:fldChar w:fldCharType="end"/>
        </w:r>
      </w:hyperlink>
    </w:p>
    <w:p w:rsidR="00BA23C9" w:rsidRDefault="0026737E" w:rsidP="00BA23C9">
      <w:pPr>
        <w:pStyle w:val="TOC2"/>
        <w:suppressLineNumbers/>
        <w:rPr>
          <w:rFonts w:asciiTheme="minorHAnsi" w:eastAsiaTheme="minorEastAsia" w:hAnsiTheme="minorHAnsi" w:cstheme="minorBidi"/>
          <w:sz w:val="22"/>
          <w:szCs w:val="22"/>
        </w:rPr>
      </w:pPr>
      <w:hyperlink w:anchor="_Toc56507425" w:history="1">
        <w:r w:rsidRPr="00226A41">
          <w:rPr>
            <w:rStyle w:val="Hyperlink"/>
          </w:rPr>
          <w:t>Clinical safety</w:t>
        </w:r>
        <w:r>
          <w:rPr>
            <w:webHidden/>
          </w:rPr>
          <w:tab/>
        </w:r>
        <w:r>
          <w:rPr>
            <w:webHidden/>
          </w:rPr>
          <w:fldChar w:fldCharType="begin"/>
        </w:r>
        <w:r>
          <w:rPr>
            <w:webHidden/>
          </w:rPr>
          <w:instrText xml:space="preserve"> PAGEREF _Toc56507425 \h </w:instrText>
        </w:r>
        <w:r>
          <w:rPr>
            <w:webHidden/>
          </w:rPr>
        </w:r>
        <w:r>
          <w:rPr>
            <w:webHidden/>
          </w:rPr>
          <w:fldChar w:fldCharType="separate"/>
        </w:r>
        <w:r>
          <w:rPr>
            <w:webHidden/>
          </w:rPr>
          <w:t>4</w:t>
        </w:r>
        <w:r>
          <w:rPr>
            <w:webHidden/>
          </w:rPr>
          <w:fldChar w:fldCharType="end"/>
        </w:r>
      </w:hyperlink>
    </w:p>
    <w:p w:rsidR="00BA23C9" w:rsidRDefault="0026737E" w:rsidP="00BA23C9">
      <w:pPr>
        <w:pStyle w:val="TOC2"/>
        <w:suppressLineNumbers/>
        <w:rPr>
          <w:rFonts w:asciiTheme="minorHAnsi" w:eastAsiaTheme="minorEastAsia" w:hAnsiTheme="minorHAnsi" w:cstheme="minorBidi"/>
          <w:sz w:val="22"/>
          <w:szCs w:val="22"/>
        </w:rPr>
      </w:pPr>
      <w:hyperlink w:anchor="_Toc56507426" w:history="1">
        <w:r w:rsidRPr="00226A41">
          <w:rPr>
            <w:rStyle w:val="Hyperlink"/>
          </w:rPr>
          <w:t>Post-approval follow-up for safety and efficacy</w:t>
        </w:r>
        <w:r>
          <w:rPr>
            <w:webHidden/>
          </w:rPr>
          <w:tab/>
        </w:r>
        <w:r>
          <w:rPr>
            <w:webHidden/>
          </w:rPr>
          <w:fldChar w:fldCharType="begin"/>
        </w:r>
        <w:r>
          <w:rPr>
            <w:webHidden/>
          </w:rPr>
          <w:instrText xml:space="preserve"> PAGEREF _Toc56507426 \h </w:instrText>
        </w:r>
        <w:r>
          <w:rPr>
            <w:webHidden/>
          </w:rPr>
        </w:r>
        <w:r>
          <w:rPr>
            <w:webHidden/>
          </w:rPr>
          <w:fldChar w:fldCharType="separate"/>
        </w:r>
        <w:r>
          <w:rPr>
            <w:webHidden/>
          </w:rPr>
          <w:t>4</w:t>
        </w:r>
        <w:r>
          <w:rPr>
            <w:webHidden/>
          </w:rPr>
          <w:fldChar w:fldCharType="end"/>
        </w:r>
      </w:hyperlink>
    </w:p>
    <w:p w:rsidR="00BA23C9" w:rsidRDefault="0026737E" w:rsidP="00BA23C9">
      <w:pPr>
        <w:pStyle w:val="TOC1"/>
        <w:suppressLineNumbers/>
        <w:rPr>
          <w:rFonts w:asciiTheme="minorHAnsi" w:eastAsiaTheme="minorEastAsia" w:hAnsiTheme="minorHAnsi" w:cstheme="minorBidi"/>
          <w:b w:val="0"/>
        </w:rPr>
      </w:pPr>
      <w:hyperlink w:anchor="_Toc56507427" w:history="1">
        <w:r w:rsidRPr="00226A41">
          <w:rPr>
            <w:rStyle w:val="Hyperlink"/>
          </w:rPr>
          <w:t>3. Conclusion</w:t>
        </w:r>
        <w:r>
          <w:rPr>
            <w:webHidden/>
          </w:rPr>
          <w:tab/>
        </w:r>
        <w:r>
          <w:rPr>
            <w:webHidden/>
          </w:rPr>
          <w:fldChar w:fldCharType="begin"/>
        </w:r>
        <w:r>
          <w:rPr>
            <w:webHidden/>
          </w:rPr>
          <w:instrText xml:space="preserve"> PAGEREF _Toc56507427 \h </w:instrText>
        </w:r>
        <w:r>
          <w:rPr>
            <w:webHidden/>
          </w:rPr>
        </w:r>
        <w:r>
          <w:rPr>
            <w:webHidden/>
          </w:rPr>
          <w:fldChar w:fldCharType="separate"/>
        </w:r>
        <w:r>
          <w:rPr>
            <w:webHidden/>
          </w:rPr>
          <w:t>4</w:t>
        </w:r>
        <w:r>
          <w:rPr>
            <w:webHidden/>
          </w:rPr>
          <w:fldChar w:fldCharType="end"/>
        </w:r>
      </w:hyperlink>
    </w:p>
    <w:p w:rsidR="00BA23C9" w:rsidRDefault="0026737E" w:rsidP="00BA23C9">
      <w:pPr>
        <w:pStyle w:val="TOC1"/>
        <w:suppressLineNumbers/>
        <w:rPr>
          <w:rFonts w:asciiTheme="minorHAnsi" w:eastAsiaTheme="minorEastAsia" w:hAnsiTheme="minorHAnsi" w:cstheme="minorBidi"/>
          <w:b w:val="0"/>
        </w:rPr>
      </w:pPr>
      <w:hyperlink w:anchor="_Toc56507428" w:history="1">
        <w:r w:rsidRPr="00226A41">
          <w:rPr>
            <w:rStyle w:val="Hyperlink"/>
          </w:rPr>
          <w:t>4. References</w:t>
        </w:r>
        <w:r>
          <w:rPr>
            <w:webHidden/>
          </w:rPr>
          <w:tab/>
        </w:r>
        <w:r>
          <w:rPr>
            <w:webHidden/>
          </w:rPr>
          <w:fldChar w:fldCharType="begin"/>
        </w:r>
        <w:r>
          <w:rPr>
            <w:webHidden/>
          </w:rPr>
          <w:instrText xml:space="preserve"> PAGER</w:instrText>
        </w:r>
        <w:r>
          <w:rPr>
            <w:webHidden/>
          </w:rPr>
          <w:instrText xml:space="preserve">EF _Toc56507428 \h </w:instrText>
        </w:r>
        <w:r>
          <w:rPr>
            <w:webHidden/>
          </w:rPr>
        </w:r>
        <w:r>
          <w:rPr>
            <w:webHidden/>
          </w:rPr>
          <w:fldChar w:fldCharType="separate"/>
        </w:r>
        <w:r>
          <w:rPr>
            <w:webHidden/>
          </w:rPr>
          <w:t>5</w:t>
        </w:r>
        <w:r>
          <w:rPr>
            <w:webHidden/>
          </w:rPr>
          <w:fldChar w:fldCharType="end"/>
        </w:r>
      </w:hyperlink>
    </w:p>
    <w:p w:rsidR="00912CBE" w:rsidRPr="00DB2F82" w:rsidRDefault="0026737E" w:rsidP="00BA23C9">
      <w:pPr>
        <w:pStyle w:val="BodytextAgency"/>
        <w:suppressLineNumbers/>
        <w:rPr>
          <w:rFonts w:cs="Arial"/>
          <w:b/>
          <w:bCs/>
          <w:kern w:val="32"/>
          <w:sz w:val="27"/>
          <w:szCs w:val="27"/>
        </w:rPr>
      </w:pPr>
      <w:r w:rsidRPr="00DB2F82">
        <w:rPr>
          <w:noProof/>
        </w:rPr>
        <w:fldChar w:fldCharType="end"/>
      </w:r>
      <w:r w:rsidRPr="00DB2F82">
        <w:br w:type="page"/>
      </w:r>
    </w:p>
    <w:p w:rsidR="00E310E1" w:rsidRPr="00DB2F82" w:rsidRDefault="0026737E" w:rsidP="00BA23C9">
      <w:pPr>
        <w:pStyle w:val="Heading1Agency"/>
        <w:numPr>
          <w:ilvl w:val="0"/>
          <w:numId w:val="37"/>
        </w:numPr>
        <w:suppressLineNumbers/>
      </w:pPr>
      <w:bookmarkStart w:id="4" w:name="_Toc56507421"/>
      <w:r w:rsidRPr="00DB2F82">
        <w:lastRenderedPageBreak/>
        <w:t>Introduction</w:t>
      </w:r>
      <w:bookmarkEnd w:id="4"/>
    </w:p>
    <w:p w:rsidR="00A66C62" w:rsidRPr="00DB2F82" w:rsidRDefault="0026737E" w:rsidP="00BA23C9">
      <w:pPr>
        <w:pStyle w:val="BodytextAgency"/>
        <w:suppressLineNumbers/>
      </w:pPr>
      <w:r w:rsidRPr="00DB2F82">
        <w:t>The ongoing SARS-CoV</w:t>
      </w:r>
      <w:r w:rsidR="002211C4" w:rsidRPr="00DB2F82">
        <w:t>-</w:t>
      </w:r>
      <w:r w:rsidRPr="00DB2F82">
        <w:t>2 pandemic is still far from being under control with more than 1 million deaths already recorded. While the unprecedented sce</w:t>
      </w:r>
      <w:r w:rsidRPr="00DB2F82">
        <w:t>nario of the pandemic requires special considerations on the regulatory requirements for approval, the benefits and risks of COVID-19 vaccines need to be properly assessed based on detailed information on manufacturing, nonclinical data and well-designed c</w:t>
      </w:r>
      <w:r w:rsidRPr="00DB2F82">
        <w:t>linical trials.</w:t>
      </w:r>
    </w:p>
    <w:p w:rsidR="00A66C62" w:rsidRPr="00DB2F82" w:rsidRDefault="0026737E" w:rsidP="00BA23C9">
      <w:pPr>
        <w:pStyle w:val="BodytextAgency"/>
        <w:suppressLineNumbers/>
      </w:pPr>
      <w:r w:rsidRPr="00DB2F82">
        <w:t>Given the global nature of the pandemic and the need to ensure that vaccine developers generate robust evidence that meets the needs of regulators around the globe, EMA and international medicines regulators</w:t>
      </w:r>
      <w:r w:rsidR="008C75BE" w:rsidRPr="00DB2F82">
        <w:t xml:space="preserve"> (ICMRA)</w:t>
      </w:r>
      <w:r w:rsidRPr="00DB2F82">
        <w:t xml:space="preserve"> have agreed </w:t>
      </w:r>
      <w:hyperlink r:id="rId8" w:history="1">
        <w:r w:rsidRPr="00DB2F82">
          <w:rPr>
            <w:rStyle w:val="Hyperlink"/>
          </w:rPr>
          <w:t>key principles of trial design for COVID-19</w:t>
        </w:r>
      </w:hyperlink>
      <w:r w:rsidR="0042730D" w:rsidRPr="00DB2F82">
        <w:t>.</w:t>
      </w:r>
    </w:p>
    <w:p w:rsidR="00E310E1" w:rsidRPr="00DB2F82" w:rsidRDefault="0026737E" w:rsidP="00BA23C9">
      <w:pPr>
        <w:pStyle w:val="BodytextAgency"/>
        <w:suppressLineNumbers/>
      </w:pPr>
      <w:r w:rsidRPr="00DB2F82">
        <w:t>Procedures are in place to allow rolling review of the quality, nonclinical and clinical</w:t>
      </w:r>
      <w:r w:rsidRPr="00DB2F82">
        <w:t xml:space="preserve"> data as they are submitted to EU regulators. Marketing authorisation can be granted in the EU when the evidence for any one COVID-19 vaccine shows that the benefits of vaccination are greater than any known or potential risks.</w:t>
      </w:r>
    </w:p>
    <w:p w:rsidR="00E310E1" w:rsidRPr="00DB2F82" w:rsidRDefault="0026737E" w:rsidP="00BA23C9">
      <w:pPr>
        <w:pStyle w:val="Heading1Agency"/>
        <w:numPr>
          <w:ilvl w:val="0"/>
          <w:numId w:val="37"/>
        </w:numPr>
        <w:suppressLineNumbers/>
      </w:pPr>
      <w:bookmarkStart w:id="5" w:name="_Toc56507422"/>
      <w:r w:rsidRPr="00DB2F82">
        <w:t>Discussion</w:t>
      </w:r>
      <w:bookmarkEnd w:id="5"/>
    </w:p>
    <w:p w:rsidR="00A66C62" w:rsidRPr="00DB2F82" w:rsidRDefault="0026737E" w:rsidP="00BA23C9">
      <w:pPr>
        <w:pStyle w:val="Heading2Agency"/>
        <w:suppressLineNumbers/>
        <w:rPr>
          <w:sz w:val="20"/>
          <w:szCs w:val="20"/>
        </w:rPr>
      </w:pPr>
      <w:bookmarkStart w:id="6" w:name="_Toc56507423"/>
      <w:r w:rsidRPr="00DB2F82">
        <w:rPr>
          <w:sz w:val="20"/>
          <w:szCs w:val="20"/>
        </w:rPr>
        <w:t>Clinical requirem</w:t>
      </w:r>
      <w:r w:rsidRPr="00DB2F82">
        <w:rPr>
          <w:sz w:val="20"/>
          <w:szCs w:val="20"/>
        </w:rPr>
        <w:t>ents for marketing authorisation (MA)</w:t>
      </w:r>
      <w:bookmarkEnd w:id="6"/>
    </w:p>
    <w:p w:rsidR="00A66C62" w:rsidRPr="00DB2F82" w:rsidRDefault="0026737E" w:rsidP="00BA23C9">
      <w:pPr>
        <w:pStyle w:val="BodytextAgency"/>
        <w:suppressLineNumbers/>
      </w:pPr>
      <w:r w:rsidRPr="00DB2F82">
        <w:t xml:space="preserve">The EMA has been in touch with developers of vaccines since </w:t>
      </w:r>
      <w:r w:rsidR="00DB2F82" w:rsidRPr="00DB2F82">
        <w:t>early in the</w:t>
      </w:r>
      <w:r w:rsidRPr="00DB2F82">
        <w:t xml:space="preserve"> pandemic to discuss their overall development strategies. Advice has been given on regulatory requirements to facilitate progression into clinica</w:t>
      </w:r>
      <w:r w:rsidRPr="00DB2F82">
        <w:t xml:space="preserve">l trials and from safety and immunogenicity trials to efficacy trials. </w:t>
      </w:r>
    </w:p>
    <w:p w:rsidR="00A66C62" w:rsidRPr="00DB2F82" w:rsidRDefault="0026737E" w:rsidP="00BA23C9">
      <w:pPr>
        <w:pStyle w:val="BodytextAgency"/>
        <w:suppressLineNumbers/>
      </w:pPr>
      <w:r w:rsidRPr="00DB2F82">
        <w:t xml:space="preserve">The EMA expects that at the time of MA vaccine safety and efficacy will have been demonstrated in </w:t>
      </w:r>
      <w:r w:rsidR="00DB2F82" w:rsidRPr="00DB2F82">
        <w:t>adults and</w:t>
      </w:r>
      <w:r w:rsidR="00A233FD" w:rsidRPr="00DB2F82">
        <w:t xml:space="preserve"> </w:t>
      </w:r>
      <w:r w:rsidR="00D6107B" w:rsidRPr="00DB2F82">
        <w:t xml:space="preserve">should </w:t>
      </w:r>
      <w:r w:rsidR="00DB2F82" w:rsidRPr="00DB2F82">
        <w:t>include individuals</w:t>
      </w:r>
      <w:r w:rsidR="005D0894" w:rsidRPr="00DB2F82">
        <w:t xml:space="preserve"> </w:t>
      </w:r>
      <w:r w:rsidRPr="00DB2F82">
        <w:t xml:space="preserve">with pre-existing comorbidities </w:t>
      </w:r>
      <w:r w:rsidR="00DB2F82" w:rsidRPr="00DB2F82">
        <w:t>and individuals</w:t>
      </w:r>
      <w:r w:rsidR="005D0894" w:rsidRPr="00DB2F82">
        <w:t xml:space="preserve"> </w:t>
      </w:r>
      <w:r w:rsidRPr="00DB2F82">
        <w:t>aged above 65 years</w:t>
      </w:r>
      <w:r w:rsidR="00A233FD" w:rsidRPr="00DB2F82">
        <w:t xml:space="preserve">. </w:t>
      </w:r>
    </w:p>
    <w:p w:rsidR="00A66C62" w:rsidRPr="00DB2F82" w:rsidRDefault="0026737E" w:rsidP="00BA23C9">
      <w:pPr>
        <w:pStyle w:val="Heading2Agency"/>
        <w:suppressLineNumbers/>
        <w:rPr>
          <w:sz w:val="20"/>
          <w:szCs w:val="20"/>
        </w:rPr>
      </w:pPr>
      <w:bookmarkStart w:id="7" w:name="_Toc56507424"/>
      <w:r w:rsidRPr="00DB2F82">
        <w:rPr>
          <w:sz w:val="20"/>
          <w:szCs w:val="20"/>
        </w:rPr>
        <w:t>Clinical efficacy</w:t>
      </w:r>
      <w:bookmarkEnd w:id="7"/>
    </w:p>
    <w:p w:rsidR="00A66C62" w:rsidRPr="00DB2F82" w:rsidRDefault="0026737E" w:rsidP="00BA23C9">
      <w:pPr>
        <w:pStyle w:val="BodytextAgency"/>
        <w:suppressLineNumbers/>
      </w:pPr>
      <w:r w:rsidRPr="00DB2F82">
        <w:t xml:space="preserve">Currently, it is expected that at least one well-designed large-scale phase 3 efficacy trial would be required to support the marketing authorisation of a COVID-19 vaccine. </w:t>
      </w:r>
    </w:p>
    <w:p w:rsidR="00A66C62" w:rsidRPr="00DB2F82" w:rsidRDefault="0026737E" w:rsidP="00BA23C9">
      <w:pPr>
        <w:pStyle w:val="BodytextAgency"/>
        <w:suppressLineNumbers/>
      </w:pPr>
      <w:r w:rsidRPr="00DB2F82">
        <w:t>The primary endpoint in pivotal vaccine ef</w:t>
      </w:r>
      <w:r w:rsidRPr="00DB2F82">
        <w:t xml:space="preserve">ficacy trials should be laboratory-confirmed COVID-19 disease of any severity. The primary analysis of efficacy should be restricted to </w:t>
      </w:r>
      <w:r w:rsidR="008E661F" w:rsidRPr="00DB2F82">
        <w:t xml:space="preserve">study </w:t>
      </w:r>
      <w:r w:rsidR="005D0894" w:rsidRPr="00DB2F82">
        <w:t xml:space="preserve">participants </w:t>
      </w:r>
      <w:r w:rsidRPr="00DB2F82">
        <w:t xml:space="preserve">who were seronegative for the virus at baseline as it is important to show that the vaccine protects </w:t>
      </w:r>
      <w:r w:rsidRPr="00DB2F82">
        <w:t xml:space="preserve">subjects not likely to have been exposed to the virus before. </w:t>
      </w:r>
    </w:p>
    <w:p w:rsidR="00A66C62" w:rsidRPr="00DB2F82" w:rsidRDefault="0026737E" w:rsidP="00BA23C9">
      <w:pPr>
        <w:pStyle w:val="BodytextAgency"/>
        <w:suppressLineNumbers/>
      </w:pPr>
      <w:r w:rsidRPr="00DB2F82">
        <w:t xml:space="preserve">Developers of vaccines have been advised to design and power their Phase 3 efficacy trials to provide a convincing demonstration of efficacy based on stringent trial success criteria. In doing </w:t>
      </w:r>
      <w:r w:rsidRPr="00DB2F82">
        <w:t xml:space="preserve">so, they need to make assumptions about possible rates of vaccine efficacy that might be observed, in order to estimate the number of </w:t>
      </w:r>
      <w:r w:rsidR="005D0894" w:rsidRPr="00DB2F82">
        <w:t>participant</w:t>
      </w:r>
      <w:r w:rsidRPr="00DB2F82">
        <w:t>s to enrol and when to analyse the data. Specifically, they have been advised when designing trials to consider</w:t>
      </w:r>
      <w:r w:rsidRPr="00DB2F82">
        <w:t xml:space="preserve"> a point estimate of vaccine efficacy that is at least 50% and a lower bound of the 95% confidence interval around the point estimate that is above 20% and preferably above 30%. If the actual results meet these criteria, they would be </w:t>
      </w:r>
      <w:proofErr w:type="gramStart"/>
      <w:r w:rsidRPr="00DB2F82">
        <w:t>sufficient</w:t>
      </w:r>
      <w:proofErr w:type="gramEnd"/>
      <w:r w:rsidRPr="00DB2F82">
        <w:t xml:space="preserve"> to provide</w:t>
      </w:r>
      <w:r w:rsidRPr="00DB2F82">
        <w:t xml:space="preserve"> a convincing demonstration of vaccine efficacy and, if accompanied by an acceptable safety profile, would support a regulatory decision. </w:t>
      </w:r>
    </w:p>
    <w:p w:rsidR="00A66C62" w:rsidRPr="00DB2F82" w:rsidRDefault="0026737E" w:rsidP="00BA23C9">
      <w:pPr>
        <w:pStyle w:val="BodytextAgency"/>
        <w:suppressLineNumbers/>
      </w:pPr>
      <w:r w:rsidRPr="00DB2F82">
        <w:t>It is recognised that the actual results of a vaccine efficacy trial may show that the lower bound of the 95% confide</w:t>
      </w:r>
      <w:r w:rsidRPr="00DB2F82">
        <w:t>nce interval around the point estimate of vaccine efficacy is above zero (i.e. the vaccine is superior to the control) but it may not exceed 30% or even 20% in some cases. In such instances, the point estimate of vaccine efficacy may not exceed 50%. In all</w:t>
      </w:r>
      <w:r w:rsidRPr="00DB2F82">
        <w:t xml:space="preserve"> cases, the clinical assessment by EU </w:t>
      </w:r>
      <w:r w:rsidRPr="00DB2F82">
        <w:lastRenderedPageBreak/>
        <w:t xml:space="preserve">regulators will </w:t>
      </w:r>
      <w:proofErr w:type="gramStart"/>
      <w:r w:rsidRPr="00DB2F82">
        <w:t>take into account</w:t>
      </w:r>
      <w:proofErr w:type="gramEnd"/>
      <w:r w:rsidRPr="00DB2F82">
        <w:t xml:space="preserve"> the actual point estimate of vaccine efficacy, the precision around that estimate (based on the confidence interval) and the safety profile. Therefore, if the actual results show that </w:t>
      </w:r>
      <w:r w:rsidRPr="00DB2F82">
        <w:t xml:space="preserve">the vaccine is superior to the control group, i.e. the vaccine is efficacious, vaccine developers are encouraged to </w:t>
      </w:r>
      <w:r w:rsidR="009065ED" w:rsidRPr="00DB2F82">
        <w:t xml:space="preserve">discuss </w:t>
      </w:r>
      <w:r w:rsidRPr="00DB2F82">
        <w:t xml:space="preserve">the data </w:t>
      </w:r>
      <w:r w:rsidR="009065ED" w:rsidRPr="00DB2F82">
        <w:t>with the EMA</w:t>
      </w:r>
      <w:r w:rsidRPr="00DB2F82">
        <w:t xml:space="preserve">. </w:t>
      </w:r>
    </w:p>
    <w:p w:rsidR="00A66C62" w:rsidRPr="00DB2F82" w:rsidRDefault="0026737E" w:rsidP="00BA23C9">
      <w:pPr>
        <w:pStyle w:val="BodytextAgency"/>
        <w:suppressLineNumbers/>
      </w:pPr>
      <w:r w:rsidRPr="00DB2F82">
        <w:t xml:space="preserve">The secondary analyses of efficacy should include an estimate of protection against symptomatic disease in </w:t>
      </w:r>
      <w:r w:rsidR="008E661F" w:rsidRPr="00DB2F82">
        <w:t xml:space="preserve">study </w:t>
      </w:r>
      <w:r w:rsidR="005D0894" w:rsidRPr="00DB2F82">
        <w:t>participant</w:t>
      </w:r>
      <w:r w:rsidRPr="00DB2F82">
        <w:t>s regardless of whether they were seronegative or seropositive for SARS-CoV</w:t>
      </w:r>
      <w:r w:rsidR="002211C4" w:rsidRPr="00DB2F82">
        <w:t>-</w:t>
      </w:r>
      <w:r w:rsidRPr="00DB2F82">
        <w:t xml:space="preserve">2 at study baseline. It is also recommended that the trials attempt to assess vaccine efficacy against severe disease, subject to accrual of </w:t>
      </w:r>
      <w:proofErr w:type="gramStart"/>
      <w:r w:rsidRPr="00DB2F82">
        <w:t>sufficient</w:t>
      </w:r>
      <w:proofErr w:type="gramEnd"/>
      <w:r w:rsidRPr="00DB2F82">
        <w:t xml:space="preserve"> cases to sup</w:t>
      </w:r>
      <w:r w:rsidRPr="00DB2F82">
        <w:t xml:space="preserve">port an analysis. The definition of severe disease should follow acceptable and standardised criteria such as those defined by </w:t>
      </w:r>
      <w:hyperlink r:id="rId9" w:history="1">
        <w:r w:rsidRPr="00DB2F82">
          <w:rPr>
            <w:rStyle w:val="Hyperlink"/>
          </w:rPr>
          <w:t>WHO</w:t>
        </w:r>
      </w:hyperlink>
      <w:r w:rsidRPr="00DB2F82">
        <w:t>. Collection of data on ac</w:t>
      </w:r>
      <w:r w:rsidRPr="00DB2F82">
        <w:t>quisition of SARS-CoV</w:t>
      </w:r>
      <w:r w:rsidR="002211C4" w:rsidRPr="00DB2F82">
        <w:t>-</w:t>
      </w:r>
      <w:r w:rsidRPr="00DB2F82">
        <w:t>2 with or without clinical symptoms to provide an estimate of prevention of infection is also of interest and, if shown, may be important to inform public health vaccination strategies.</w:t>
      </w:r>
    </w:p>
    <w:p w:rsidR="00A66C62" w:rsidRPr="00DB2F82" w:rsidRDefault="0026737E" w:rsidP="00BA23C9">
      <w:pPr>
        <w:pStyle w:val="Heading2Agency"/>
        <w:suppressLineNumbers/>
        <w:rPr>
          <w:sz w:val="20"/>
          <w:szCs w:val="20"/>
        </w:rPr>
      </w:pPr>
      <w:bookmarkStart w:id="8" w:name="_Toc56507425"/>
      <w:r w:rsidRPr="00DB2F82">
        <w:rPr>
          <w:sz w:val="20"/>
          <w:szCs w:val="20"/>
        </w:rPr>
        <w:t>Clinical safety</w:t>
      </w:r>
      <w:bookmarkEnd w:id="8"/>
    </w:p>
    <w:p w:rsidR="00A66C62" w:rsidRPr="00DB2F82" w:rsidRDefault="0026737E" w:rsidP="00BA23C9">
      <w:pPr>
        <w:pStyle w:val="BodytextAgency"/>
        <w:suppressLineNumbers/>
      </w:pPr>
      <w:r w:rsidRPr="00DB2F82">
        <w:t>The evaluation of safety of SARS-CoV</w:t>
      </w:r>
      <w:r w:rsidR="002211C4" w:rsidRPr="00DB2F82">
        <w:t>-</w:t>
      </w:r>
      <w:r w:rsidRPr="00DB2F82">
        <w:t xml:space="preserve">2 vaccines will follow the standard principles outlined in </w:t>
      </w:r>
      <w:hyperlink r:id="rId10" w:history="1">
        <w:r w:rsidRPr="00DB2F82">
          <w:rPr>
            <w:rStyle w:val="Hyperlink"/>
          </w:rPr>
          <w:t>EMA guidance documents</w:t>
        </w:r>
      </w:hyperlink>
      <w:r w:rsidRPr="00DB2F82">
        <w:t xml:space="preserve">. Since pre-licensure vaccine efficacy trials will have been conducted, it is anticipated that several thousand </w:t>
      </w:r>
      <w:r w:rsidR="008E661F" w:rsidRPr="00DB2F82">
        <w:t>individuals</w:t>
      </w:r>
      <w:r w:rsidRPr="00DB2F82">
        <w:t xml:space="preserve"> will have been exposed to the vaccine at the time of initial marketing authorisation, which will allow an assessment of uncommon ri</w:t>
      </w:r>
      <w:r w:rsidRPr="00DB2F82">
        <w:t xml:space="preserve">sks. Most adverse reactions to vaccines occur within 4-6 weeks from vaccination. In principle, </w:t>
      </w:r>
      <w:r w:rsidR="00A06FAD" w:rsidRPr="00DB2F82">
        <w:t xml:space="preserve">conditional </w:t>
      </w:r>
      <w:r w:rsidRPr="00DB2F82">
        <w:t xml:space="preserve">marketing authorisation for a COVID-19 vaccine could be based on review of at least 6 weeks post-vaccination safety data. </w:t>
      </w:r>
    </w:p>
    <w:p w:rsidR="00A66C62" w:rsidRPr="00DB2F82" w:rsidRDefault="0026737E" w:rsidP="00BA23C9">
      <w:pPr>
        <w:pStyle w:val="Heading2Agency"/>
        <w:suppressLineNumbers/>
        <w:rPr>
          <w:sz w:val="20"/>
          <w:szCs w:val="20"/>
        </w:rPr>
      </w:pPr>
      <w:bookmarkStart w:id="9" w:name="_Toc56507426"/>
      <w:r w:rsidRPr="00DB2F82">
        <w:rPr>
          <w:sz w:val="20"/>
          <w:szCs w:val="20"/>
        </w:rPr>
        <w:t>Post-approval follow-up fo</w:t>
      </w:r>
      <w:r w:rsidRPr="00DB2F82">
        <w:rPr>
          <w:sz w:val="20"/>
          <w:szCs w:val="20"/>
        </w:rPr>
        <w:t>r safety and efficacy</w:t>
      </w:r>
      <w:bookmarkEnd w:id="9"/>
    </w:p>
    <w:p w:rsidR="00A66C62" w:rsidRPr="00DB2F82" w:rsidRDefault="0026737E" w:rsidP="00BA23C9">
      <w:pPr>
        <w:pStyle w:val="BodytextAgency"/>
        <w:suppressLineNumbers/>
      </w:pPr>
      <w:r w:rsidRPr="00DB2F82">
        <w:t>Whenever feasible, the EMA has recommended that clinical trial participants should be followed for safety and efficacy within their randomised groups for at least one year after completing vaccination. This is recommended even if a co</w:t>
      </w:r>
      <w:r w:rsidRPr="00DB2F82">
        <w:t xml:space="preserve">nditional approval based on a convincing interim analysis of efficacy has occurred before all </w:t>
      </w:r>
      <w:r w:rsidR="008E661F" w:rsidRPr="00DB2F82">
        <w:t xml:space="preserve">study </w:t>
      </w:r>
      <w:r w:rsidR="005D0894" w:rsidRPr="00DB2F82">
        <w:t>participant</w:t>
      </w:r>
      <w:r w:rsidRPr="00DB2F82">
        <w:t>s have reached one year. These longer-term data are important to document any late adverse reactions and to assess whether there is waning of pro</w:t>
      </w:r>
      <w:r w:rsidRPr="00DB2F82">
        <w:t>tection against SARS-Cov</w:t>
      </w:r>
      <w:r w:rsidR="002211C4" w:rsidRPr="00DB2F82">
        <w:t>-</w:t>
      </w:r>
      <w:r w:rsidRPr="00DB2F82">
        <w:t>2 disease over time.</w:t>
      </w:r>
    </w:p>
    <w:p w:rsidR="00A66C62" w:rsidRPr="00DB2F82" w:rsidRDefault="0026737E" w:rsidP="00BA23C9">
      <w:pPr>
        <w:pStyle w:val="BodytextAgency"/>
        <w:suppressLineNumbers/>
      </w:pPr>
      <w:r w:rsidRPr="00DB2F82">
        <w:t xml:space="preserve">Suitable pharmacovigilance system </w:t>
      </w:r>
      <w:proofErr w:type="gramStart"/>
      <w:r w:rsidRPr="00DB2F82">
        <w:t>has to</w:t>
      </w:r>
      <w:proofErr w:type="gramEnd"/>
      <w:r w:rsidRPr="00DB2F82">
        <w:t xml:space="preserve"> be in place across the EU at the time of initial marketing authorisation to gather and promptly report data on adverse reactions during vaccination campaigns. A core Ris</w:t>
      </w:r>
      <w:r w:rsidRPr="00DB2F82">
        <w:t>k Management Plan has been drafted to structure the requirements for post-approval monitoring and enhanced safety surveillance as soon as the vaccines are deployed, so that EMA can act as fast as possible when a signal is detected.</w:t>
      </w:r>
    </w:p>
    <w:p w:rsidR="00E310E1" w:rsidRPr="00DB2F82" w:rsidRDefault="0026737E" w:rsidP="00BA23C9">
      <w:pPr>
        <w:pStyle w:val="BodytextAgency"/>
        <w:suppressLineNumbers/>
      </w:pPr>
      <w:r w:rsidRPr="00DB2F82">
        <w:t>Studies that estimate va</w:t>
      </w:r>
      <w:r w:rsidRPr="00DB2F82">
        <w:t xml:space="preserve">ccine effectiveness during campaigns will be important to better understand immediate and longer-term protection in a broader range of </w:t>
      </w:r>
      <w:r w:rsidR="008E661F" w:rsidRPr="00DB2F82">
        <w:t>individuals</w:t>
      </w:r>
      <w:r w:rsidRPr="00DB2F82">
        <w:t xml:space="preserve"> (e.g. based on age and other host characteristics) than included in pre-licensure trials. EMA is collaboratin</w:t>
      </w:r>
      <w:r w:rsidRPr="00DB2F82">
        <w:t>g with ECDC and the Member States to allow the definition of networks across Europe capable of conducting safety surveillance and effectiveness studies.</w:t>
      </w:r>
    </w:p>
    <w:p w:rsidR="00E310E1" w:rsidRPr="00DB2F82" w:rsidRDefault="0026737E" w:rsidP="00BA23C9">
      <w:pPr>
        <w:pStyle w:val="Heading1Agency"/>
        <w:numPr>
          <w:ilvl w:val="0"/>
          <w:numId w:val="37"/>
        </w:numPr>
        <w:suppressLineNumbers/>
      </w:pPr>
      <w:bookmarkStart w:id="10" w:name="_Toc56507427"/>
      <w:r w:rsidRPr="00DB2F82">
        <w:t>Conclusion</w:t>
      </w:r>
      <w:bookmarkEnd w:id="10"/>
    </w:p>
    <w:p w:rsidR="00A66C62" w:rsidRPr="00DB2F82" w:rsidRDefault="0026737E" w:rsidP="00BA23C9">
      <w:pPr>
        <w:pStyle w:val="BodytextAgency"/>
        <w:suppressLineNumbers/>
      </w:pPr>
      <w:r w:rsidRPr="00DB2F82">
        <w:t>The EMA has recommended that vaccine developers should plan the pivotal efficacy trials with stringent success criteria, aiming to provide a convincing demonstration of efficacy in the population studied. Nevertheless, if vaccine efficacy is demonstrated b</w:t>
      </w:r>
      <w:r w:rsidRPr="00DB2F82">
        <w:t xml:space="preserve">ased on less stringent criteria, vaccine developers are encouraged to submit the results for regulatory review. In all cases, the clinical assessment by EU regulators will </w:t>
      </w:r>
      <w:proofErr w:type="gramStart"/>
      <w:r w:rsidRPr="00DB2F82">
        <w:t>take into account</w:t>
      </w:r>
      <w:proofErr w:type="gramEnd"/>
      <w:r w:rsidRPr="00DB2F82">
        <w:t xml:space="preserve"> the actual point estimate of vaccine efficacy, the </w:t>
      </w:r>
      <w:r w:rsidRPr="00DB2F82">
        <w:lastRenderedPageBreak/>
        <w:t>precision aroun</w:t>
      </w:r>
      <w:r w:rsidRPr="00DB2F82">
        <w:t xml:space="preserve">d that estimate (based on the confidence interval) and the safety profile. Follow-up of </w:t>
      </w:r>
      <w:r w:rsidR="008E661F" w:rsidRPr="00DB2F82">
        <w:t xml:space="preserve">study </w:t>
      </w:r>
      <w:r w:rsidR="005D0894" w:rsidRPr="00DB2F82">
        <w:t>participant</w:t>
      </w:r>
      <w:r w:rsidRPr="00DB2F82">
        <w:t>s for safety and efficacy after MA is considered important, along with assessment of safety and effectiveness of COVID-19 vaccines during vaccination c</w:t>
      </w:r>
      <w:r w:rsidRPr="00DB2F82">
        <w:t>ampaigns.</w:t>
      </w:r>
    </w:p>
    <w:p w:rsidR="00E310E1" w:rsidRPr="00DB2F82" w:rsidRDefault="0026737E" w:rsidP="00BA23C9">
      <w:pPr>
        <w:pStyle w:val="Heading1Agency"/>
        <w:numPr>
          <w:ilvl w:val="0"/>
          <w:numId w:val="37"/>
        </w:numPr>
        <w:suppressLineNumbers/>
      </w:pPr>
      <w:bookmarkStart w:id="11" w:name="_Ref56156141"/>
      <w:bookmarkStart w:id="12" w:name="_Toc56507428"/>
      <w:r w:rsidRPr="00DB2F82">
        <w:t>References</w:t>
      </w:r>
      <w:bookmarkEnd w:id="11"/>
      <w:bookmarkEnd w:id="12"/>
    </w:p>
    <w:p w:rsidR="00894C7F" w:rsidRPr="00DB2F82" w:rsidRDefault="0026737E" w:rsidP="00BA23C9">
      <w:pPr>
        <w:pStyle w:val="BodytextAgency"/>
        <w:suppressLineNumbers/>
        <w:rPr>
          <w:lang w:val="en"/>
        </w:rPr>
      </w:pPr>
      <w:r w:rsidRPr="00DB2F82">
        <w:t xml:space="preserve">EMA, 2020; </w:t>
      </w:r>
      <w:r w:rsidRPr="00DB2F82">
        <w:rPr>
          <w:i/>
          <w:iCs/>
        </w:rPr>
        <w:t>International regulators align positions on phase 3 COVID-19 vaccine trials</w:t>
      </w:r>
    </w:p>
    <w:p w:rsidR="00894C7F" w:rsidRPr="00DB2F82" w:rsidRDefault="0026737E" w:rsidP="00BA23C9">
      <w:pPr>
        <w:pStyle w:val="BodytextAgency"/>
        <w:suppressLineNumbers/>
      </w:pPr>
      <w:hyperlink r:id="rId11" w:history="1">
        <w:r w:rsidRPr="00DB2F82">
          <w:rPr>
            <w:rStyle w:val="Hyperlink"/>
          </w:rPr>
          <w:t>https://www.ema.europa.eu/en</w:t>
        </w:r>
        <w:r w:rsidRPr="00DB2F82">
          <w:rPr>
            <w:rStyle w:val="Hyperlink"/>
          </w:rPr>
          <w:t>/news/international-regulators-align-positions-phase-3-covid-19-vaccine-trials</w:t>
        </w:r>
      </w:hyperlink>
    </w:p>
    <w:p w:rsidR="002211C4" w:rsidRPr="00DB2F82" w:rsidRDefault="0026737E" w:rsidP="00BA23C9">
      <w:pPr>
        <w:pStyle w:val="BodytextAgency"/>
        <w:suppressLineNumbers/>
      </w:pPr>
      <w:r w:rsidRPr="00DB2F82">
        <w:t xml:space="preserve">WHO Working Group on the Clinical Characterisation and Management of COVID-19 infection; </w:t>
      </w:r>
      <w:hyperlink r:id="rId12" w:history="1">
        <w:r w:rsidRPr="00DB2F82">
          <w:rPr>
            <w:rStyle w:val="Hyperlink"/>
            <w:i/>
            <w:iCs/>
          </w:rPr>
          <w:t>A minimal common outcome measure set for COVID-19 clinical research.</w:t>
        </w:r>
        <w:r w:rsidRPr="00DB2F82">
          <w:rPr>
            <w:rStyle w:val="Hyperlink"/>
          </w:rPr>
          <w:t xml:space="preserve"> Lancet Infectious Diseases</w:t>
        </w:r>
      </w:hyperlink>
      <w:r w:rsidRPr="00DB2F82">
        <w:t xml:space="preserve"> 2020;20:</w:t>
      </w:r>
      <w:r w:rsidR="00525C40" w:rsidRPr="00DB2F82">
        <w:t xml:space="preserve"> </w:t>
      </w:r>
      <w:r w:rsidRPr="00DB2F82">
        <w:t>e192-97</w:t>
      </w:r>
    </w:p>
    <w:p w:rsidR="00894C7F" w:rsidRPr="00BB654C" w:rsidRDefault="0026737E" w:rsidP="00BA23C9">
      <w:pPr>
        <w:pStyle w:val="BodytextAgency"/>
        <w:suppressLineNumbers/>
      </w:pPr>
      <w:r w:rsidRPr="00DB2F82">
        <w:t xml:space="preserve">EMA, 2020; </w:t>
      </w:r>
      <w:r w:rsidR="001D0E72" w:rsidRPr="00DB2F82">
        <w:rPr>
          <w:i/>
          <w:iCs/>
        </w:rPr>
        <w:t>Guideline on clinical evaluation of vaccines</w:t>
      </w:r>
      <w:r w:rsidRPr="00DB2F82">
        <w:rPr>
          <w:i/>
          <w:iCs/>
        </w:rPr>
        <w:t xml:space="preserve"> </w:t>
      </w:r>
      <w:hyperlink r:id="rId13" w:history="1">
        <w:r w:rsidRPr="00DB2F82">
          <w:rPr>
            <w:rStyle w:val="Hyperlink"/>
          </w:rPr>
          <w:t>https://www.ema.europa.eu/en/documents/scientific-guideline/draft-guideline-clinical-evaluation-vaccines-revision-1_en.p</w:t>
        </w:r>
        <w:r w:rsidRPr="00DB2F82">
          <w:rPr>
            <w:rStyle w:val="Hyperlink"/>
          </w:rPr>
          <w:t>df</w:t>
        </w:r>
      </w:hyperlink>
    </w:p>
    <w:sectPr w:rsidR="00894C7F" w:rsidRPr="00BB654C" w:rsidSect="0026737E">
      <w:headerReference w:type="even" r:id="rId14"/>
      <w:headerReference w:type="default" r:id="rId15"/>
      <w:footerReference w:type="even" r:id="rId16"/>
      <w:footerReference w:type="default" r:id="rId17"/>
      <w:headerReference w:type="first" r:id="rId18"/>
      <w:footerReference w:type="first" r:id="rId19"/>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6737E">
      <w:r>
        <w:separator/>
      </w:r>
    </w:p>
  </w:endnote>
  <w:endnote w:type="continuationSeparator" w:id="0">
    <w:p w:rsidR="00000000" w:rsidRDefault="0026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DaunPenh">
    <w:charset w:val="00"/>
    <w:family w:val="auto"/>
    <w:pitch w:val="variable"/>
    <w:sig w:usb0="80000003" w:usb1="00000000" w:usb2="00010000" w:usb3="00000000" w:csb0="00000001" w:csb1="00000000"/>
  </w:font>
  <w:font w:name="Courier New">
    <w:panose1 w:val="02070309020205020404"/>
    <w:charset w:val="00"/>
    <w:family w:val="modern"/>
    <w:pitch w:val="fixed"/>
    <w:sig w:usb0="E0002EFF" w:usb1="C0007843" w:usb2="00000009" w:usb3="00000000" w:csb0="000001FF" w:csb1="00000000"/>
  </w:font>
  <w:font w:name="Copperplate32bc">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55E" w:rsidRDefault="00682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1E0" w:firstRow="1" w:lastRow="1" w:firstColumn="1" w:lastColumn="1" w:noHBand="0" w:noVBand="0"/>
    </w:tblPr>
    <w:tblGrid>
      <w:gridCol w:w="6196"/>
      <w:gridCol w:w="3217"/>
    </w:tblGrid>
    <w:tr w:rsidR="009759A4">
      <w:tc>
        <w:tcPr>
          <w:tcW w:w="5000" w:type="pct"/>
          <w:gridSpan w:val="2"/>
          <w:tcBorders>
            <w:top w:val="single" w:sz="2" w:space="0" w:color="auto"/>
            <w:left w:val="nil"/>
            <w:bottom w:val="nil"/>
            <w:right w:val="nil"/>
          </w:tcBorders>
          <w:tcMar>
            <w:left w:w="0" w:type="dxa"/>
            <w:right w:w="0" w:type="dxa"/>
          </w:tcMar>
        </w:tcPr>
        <w:p w:rsidR="006060AA" w:rsidRDefault="006060AA">
          <w:pPr>
            <w:pStyle w:val="FooterAgency"/>
          </w:pPr>
        </w:p>
      </w:tc>
    </w:tr>
    <w:tr w:rsidR="009759A4">
      <w:tc>
        <w:tcPr>
          <w:tcW w:w="3291" w:type="pct"/>
          <w:tcMar>
            <w:left w:w="0" w:type="dxa"/>
            <w:right w:w="0" w:type="dxa"/>
          </w:tcMar>
        </w:tcPr>
        <w:p w:rsidR="006060AA" w:rsidRDefault="0026737E">
          <w:pPr>
            <w:pStyle w:val="FooterAgency"/>
          </w:pPr>
          <w:r>
            <w:rPr>
              <w:szCs w:val="15"/>
            </w:rPr>
            <w:fldChar w:fldCharType="begin"/>
          </w:r>
          <w:r>
            <w:rPr>
              <w:szCs w:val="15"/>
            </w:rPr>
            <w:instrText xml:space="preserve"> IF </w:instrText>
          </w:r>
          <w:r w:rsidR="00C96886" w:rsidRPr="00C96886">
            <w:fldChar w:fldCharType="begin"/>
          </w:r>
          <w:r>
            <w:instrText xml:space="preserve"> STYLEREF  "Doc title (Agency)"  \* MERGEFORMAT </w:instrText>
          </w:r>
          <w:r w:rsidR="00C96886" w:rsidRPr="00C96886">
            <w:fldChar w:fldCharType="separate"/>
          </w:r>
          <w:r w:rsidRPr="0026737E">
            <w:rPr>
              <w:b/>
              <w:bCs/>
              <w:noProof/>
              <w:lang w:val="en-US"/>
            </w:rPr>
            <w:instrText>EMA considerations on Covid-19 vaccine</w:instrText>
          </w:r>
          <w:r>
            <w:rPr>
              <w:noProof/>
            </w:rPr>
            <w:instrText xml:space="preserve"> approval</w:instrText>
          </w:r>
          <w:r w:rsidR="00C96886" w:rsidRPr="00C96886">
            <w:rPr>
              <w:b/>
              <w:bCs/>
              <w:noProof/>
              <w:lang w:val="en-US"/>
            </w:rPr>
            <w:fldChar w:fldCharType="end"/>
          </w:r>
          <w:r>
            <w:rPr>
              <w:szCs w:val="15"/>
            </w:rPr>
            <w:instrText xml:space="preserve"> &lt;&gt; "Error*"</w:instrText>
          </w:r>
          <w:r w:rsidR="00C96886">
            <w:fldChar w:fldCharType="begin"/>
          </w:r>
          <w:r>
            <w:instrText xml:space="preserve"> STYLEREF  "Doc title (Agency)"  \* MERGEFORMAT </w:instrText>
          </w:r>
          <w:r w:rsidR="00C96886">
            <w:fldChar w:fldCharType="separate"/>
          </w:r>
          <w:r>
            <w:rPr>
              <w:noProof/>
            </w:rPr>
            <w:instrText>EMA considerations on Covid-19 vaccine approval</w:instrText>
          </w:r>
          <w:r w:rsidR="00C96886">
            <w:rPr>
              <w:noProof/>
            </w:rPr>
            <w:fldChar w:fldCharType="end"/>
          </w:r>
          <w:r>
            <w:rPr>
              <w:szCs w:val="15"/>
            </w:rPr>
            <w:instrText xml:space="preserve"> \* MERGEFORMAT </w:instrText>
          </w:r>
          <w:r>
            <w:rPr>
              <w:szCs w:val="15"/>
            </w:rPr>
            <w:fldChar w:fldCharType="separate"/>
          </w:r>
          <w:r>
            <w:rPr>
              <w:noProof/>
            </w:rPr>
            <w:t>EMA considerations on Covid-19 vaccine approval</w:t>
          </w:r>
          <w:r>
            <w:rPr>
              <w:szCs w:val="15"/>
            </w:rPr>
            <w:fldChar w:fldCharType="end"/>
          </w:r>
          <w:r>
            <w:rPr>
              <w:szCs w:val="15"/>
            </w:rPr>
            <w:t xml:space="preserve"> </w:t>
          </w:r>
        </w:p>
      </w:tc>
      <w:tc>
        <w:tcPr>
          <w:tcW w:w="1709" w:type="pct"/>
          <w:tcMar>
            <w:left w:w="0" w:type="dxa"/>
            <w:right w:w="0" w:type="dxa"/>
          </w:tcMar>
        </w:tcPr>
        <w:p w:rsidR="006060AA" w:rsidRDefault="006060AA">
          <w:pPr>
            <w:pStyle w:val="FooterAgency"/>
          </w:pPr>
        </w:p>
      </w:tc>
    </w:tr>
    <w:tr w:rsidR="009759A4">
      <w:tc>
        <w:tcPr>
          <w:tcW w:w="3291" w:type="pct"/>
          <w:tcMar>
            <w:left w:w="0" w:type="dxa"/>
            <w:right w:w="0" w:type="dxa"/>
          </w:tcMar>
        </w:tcPr>
        <w:p w:rsidR="006060AA" w:rsidRDefault="0026737E">
          <w:pPr>
            <w:pStyle w:val="FooterAgency"/>
          </w:pPr>
          <w:r>
            <w:rPr>
              <w:szCs w:val="15"/>
            </w:rPr>
            <w:fldChar w:fldCharType="begin"/>
          </w:r>
          <w:r>
            <w:rPr>
              <w:szCs w:val="15"/>
            </w:rPr>
            <w:instrText xml:space="preserve"> IF </w:instrText>
          </w:r>
          <w:r w:rsidRPr="006060AA">
            <w:fldChar w:fldCharType="begin"/>
          </w:r>
          <w:r>
            <w:instrText xml:space="preserve"> DOCPROPERTY "DM_emea_doc_ref_id"  \* MERGEFORMAT </w:instrText>
          </w:r>
          <w:r w:rsidRPr="006060AA">
            <w:fldChar w:fldCharType="separate"/>
          </w:r>
          <w:r w:rsidRPr="006060AA">
            <w:rPr>
              <w:b/>
              <w:bCs/>
              <w:lang w:val="en-US"/>
            </w:rPr>
            <w:instrText>EMA/592928/2020</w:instrText>
          </w:r>
          <w:r w:rsidRPr="006060AA">
            <w:rPr>
              <w:b/>
              <w:bCs/>
              <w:lang w:val="en-US"/>
            </w:rPr>
            <w:fldChar w:fldCharType="end"/>
          </w:r>
          <w:r>
            <w:rPr>
              <w:szCs w:val="15"/>
            </w:rPr>
            <w:instrText xml:space="preserve"> &lt;&gt; "Error*"</w:instrText>
          </w:r>
          <w:r>
            <w:fldChar w:fldCharType="begin"/>
          </w:r>
          <w:r>
            <w:instrText xml:space="preserve"> DOCPROPERTY "DM_emea_doc_ref_id"  \* MERGEFORMAT </w:instrText>
          </w:r>
          <w:r>
            <w:fldChar w:fldCharType="separate"/>
          </w:r>
          <w:r>
            <w:instrText>EMA/592928/2020</w:instrText>
          </w:r>
          <w:r>
            <w:fldChar w:fldCharType="end"/>
          </w:r>
          <w:r>
            <w:rPr>
              <w:szCs w:val="15"/>
            </w:rPr>
            <w:instrText xml:space="preserve"> \* MERGEFORMAT </w:instrText>
          </w:r>
          <w:r>
            <w:rPr>
              <w:szCs w:val="15"/>
            </w:rPr>
            <w:fldChar w:fldCharType="separate"/>
          </w:r>
          <w:r>
            <w:rPr>
              <w:noProof/>
            </w:rPr>
            <w:t>EMA/592928/2020</w:t>
          </w:r>
          <w:r>
            <w:rPr>
              <w:szCs w:val="15"/>
            </w:rPr>
            <w:fldChar w:fldCharType="end"/>
          </w:r>
          <w:r>
            <w:rPr>
              <w:szCs w:val="15"/>
            </w:rPr>
            <w:t xml:space="preserve"> </w:t>
          </w:r>
        </w:p>
      </w:tc>
      <w:tc>
        <w:tcPr>
          <w:tcW w:w="1709" w:type="pct"/>
          <w:tcMar>
            <w:left w:w="0" w:type="dxa"/>
            <w:right w:w="0" w:type="dxa"/>
          </w:tcMar>
        </w:tcPr>
        <w:p w:rsidR="006060AA" w:rsidRDefault="0026737E">
          <w:pPr>
            <w:jc w:val="right"/>
            <w:rPr>
              <w:rStyle w:val="PageNumberAgency0"/>
              <w:lang w:val="fr-FR"/>
            </w:rPr>
          </w:pPr>
          <w:r>
            <w:rPr>
              <w:rStyle w:val="PageNumberAgency0"/>
              <w:lang w:val="fr-FR"/>
            </w:rPr>
            <w:t xml:space="preserve">Page </w:t>
          </w:r>
          <w:r>
            <w:rPr>
              <w:rStyle w:val="PageNumberAgency0"/>
            </w:rPr>
            <w:fldChar w:fldCharType="begin"/>
          </w:r>
          <w:r>
            <w:rPr>
              <w:rStyle w:val="PageNumberAgency0"/>
              <w:lang w:val="fr-FR"/>
            </w:rPr>
            <w:instrText xml:space="preserve"> PAGE </w:instrText>
          </w:r>
          <w:r>
            <w:rPr>
              <w:rStyle w:val="PageNumberAgency0"/>
            </w:rPr>
            <w:fldChar w:fldCharType="separate"/>
          </w:r>
          <w:r w:rsidR="00EB15F1">
            <w:rPr>
              <w:rStyle w:val="PageNumberAgency0"/>
              <w:noProof/>
              <w:lang w:val="fr-FR"/>
            </w:rPr>
            <w:t>4</w:t>
          </w:r>
          <w:r>
            <w:rPr>
              <w:rStyle w:val="PageNumberAgency0"/>
            </w:rPr>
            <w:fldChar w:fldCharType="end"/>
          </w:r>
          <w:r>
            <w:rPr>
              <w:rStyle w:val="PageNumberAgency0"/>
              <w:lang w:val="fr-FR"/>
            </w:rPr>
            <w:t>/</w:t>
          </w:r>
          <w:r>
            <w:rPr>
              <w:rStyle w:val="PageNumberAgency0"/>
            </w:rPr>
            <w:fldChar w:fldCharType="begin"/>
          </w:r>
          <w:r>
            <w:rPr>
              <w:rStyle w:val="PageNumberAgency0"/>
              <w:lang w:val="fr-FR"/>
            </w:rPr>
            <w:instrText xml:space="preserve"> NUMPAGES </w:instrText>
          </w:r>
          <w:r>
            <w:rPr>
              <w:rStyle w:val="PageNumberAgency0"/>
            </w:rPr>
            <w:fldChar w:fldCharType="separate"/>
          </w:r>
          <w:r w:rsidR="00EB15F1">
            <w:rPr>
              <w:rStyle w:val="PageNumberAgency0"/>
              <w:noProof/>
              <w:lang w:val="fr-FR"/>
            </w:rPr>
            <w:t>5</w:t>
          </w:r>
          <w:r>
            <w:rPr>
              <w:rStyle w:val="PageNumberAgency0"/>
            </w:rPr>
            <w:fldChar w:fldCharType="end"/>
          </w:r>
        </w:p>
      </w:tc>
    </w:tr>
  </w:tbl>
  <w:p w:rsidR="006060AA" w:rsidRDefault="006060AA" w:rsidP="00C96886">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rightFromText="181" w:vertAnchor="text" w:horzAnchor="margin" w:tblpY="273"/>
      <w:tblW w:w="9493" w:type="dxa"/>
      <w:tblBorders>
        <w:top w:val="single" w:sz="4" w:space="0" w:color="auto"/>
      </w:tblBorders>
      <w:tblCellMar>
        <w:left w:w="0" w:type="dxa"/>
      </w:tblCellMar>
      <w:tblLook w:val="0600" w:firstRow="0" w:lastRow="0" w:firstColumn="0" w:lastColumn="0" w:noHBand="1" w:noVBand="1"/>
    </w:tblPr>
    <w:tblGrid>
      <w:gridCol w:w="6737"/>
      <w:gridCol w:w="2756"/>
    </w:tblGrid>
    <w:tr w:rsidR="009759A4" w:rsidTr="009E0F5B">
      <w:tc>
        <w:tcPr>
          <w:tcW w:w="9493" w:type="dxa"/>
          <w:gridSpan w:val="2"/>
          <w:shd w:val="clear" w:color="auto" w:fill="auto"/>
        </w:tcPr>
        <w:p w:rsidR="006060AA" w:rsidRPr="00FB6A5A" w:rsidRDefault="006060AA" w:rsidP="009E0F5B">
          <w:pPr>
            <w:rPr>
              <w:sz w:val="11"/>
              <w:szCs w:val="11"/>
            </w:rPr>
          </w:pPr>
        </w:p>
      </w:tc>
    </w:tr>
    <w:tr w:rsidR="009759A4" w:rsidTr="009E0F5B">
      <w:trPr>
        <w:trHeight w:val="227"/>
      </w:trPr>
      <w:tc>
        <w:tcPr>
          <w:tcW w:w="6737" w:type="dxa"/>
          <w:shd w:val="clear" w:color="auto" w:fill="auto"/>
        </w:tcPr>
        <w:p w:rsidR="006060AA" w:rsidRPr="00FB6A5A" w:rsidRDefault="0026737E" w:rsidP="009E0F5B">
          <w:pPr>
            <w:rPr>
              <w:color w:val="6D6F71"/>
              <w:sz w:val="14"/>
              <w:szCs w:val="14"/>
            </w:rPr>
          </w:pPr>
          <w:r w:rsidRPr="00FB6A5A">
            <w:rPr>
              <w:b/>
              <w:color w:val="003399"/>
              <w:sz w:val="13"/>
              <w:szCs w:val="14"/>
            </w:rPr>
            <w:t>Official address</w:t>
          </w:r>
          <w:r w:rsidRPr="00BC37BD">
            <w:t xml:space="preserve">  </w:t>
          </w:r>
          <w:r w:rsidRPr="00FB6A5A">
            <w:rPr>
              <w:color w:val="6D6F71"/>
              <w:sz w:val="14"/>
              <w:szCs w:val="14"/>
            </w:rPr>
            <w:t xml:space="preserve">Domenico </w:t>
          </w:r>
          <w:proofErr w:type="spellStart"/>
          <w:r w:rsidRPr="00FB6A5A">
            <w:rPr>
              <w:color w:val="6D6F71"/>
              <w:sz w:val="14"/>
              <w:szCs w:val="14"/>
            </w:rPr>
            <w:t>Scarlattilaan</w:t>
          </w:r>
          <w:proofErr w:type="spellEnd"/>
          <w:r w:rsidRPr="00FB6A5A">
            <w:rPr>
              <w:color w:val="6D6F71"/>
              <w:sz w:val="14"/>
              <w:szCs w:val="14"/>
            </w:rPr>
            <w:t xml:space="preserve"> 6</w:t>
          </w:r>
          <w:r w:rsidRPr="00BC37BD">
            <w:t xml:space="preserve">  </w:t>
          </w:r>
          <w:r w:rsidRPr="00FB6A5A">
            <w:rPr>
              <w:b/>
              <w:color w:val="003399"/>
              <w:sz w:val="13"/>
              <w:szCs w:val="14"/>
            </w:rPr>
            <w:t>●</w:t>
          </w:r>
          <w:r w:rsidRPr="00BC37BD">
            <w:t xml:space="preserve">  </w:t>
          </w:r>
          <w:r w:rsidRPr="00FB6A5A">
            <w:rPr>
              <w:color w:val="6D6F71"/>
              <w:sz w:val="14"/>
              <w:szCs w:val="14"/>
            </w:rPr>
            <w:t>1083 HS Amsterdam</w:t>
          </w:r>
          <w:r w:rsidRPr="00BC37BD">
            <w:t xml:space="preserve">  </w:t>
          </w:r>
          <w:r w:rsidRPr="00FB6A5A">
            <w:rPr>
              <w:b/>
              <w:color w:val="003399"/>
              <w:sz w:val="13"/>
              <w:szCs w:val="14"/>
            </w:rPr>
            <w:t>●</w:t>
          </w:r>
          <w:r w:rsidRPr="00BC37BD">
            <w:t xml:space="preserve">  </w:t>
          </w:r>
          <w:r w:rsidRPr="00FB6A5A">
            <w:rPr>
              <w:color w:val="6D6F71"/>
              <w:sz w:val="14"/>
              <w:szCs w:val="14"/>
            </w:rPr>
            <w:t>The Netherlands</w:t>
          </w:r>
        </w:p>
      </w:tc>
      <w:tc>
        <w:tcPr>
          <w:tcW w:w="2756" w:type="dxa"/>
          <w:vMerge w:val="restart"/>
          <w:shd w:val="clear" w:color="auto" w:fill="auto"/>
        </w:tcPr>
        <w:p w:rsidR="006060AA" w:rsidRPr="00FB6A5A" w:rsidRDefault="006060AA" w:rsidP="009E0F5B">
          <w:pPr>
            <w:ind w:right="-249"/>
            <w:rPr>
              <w:color w:val="6D6F71"/>
              <w:sz w:val="11"/>
              <w:szCs w:val="11"/>
            </w:rPr>
          </w:pPr>
        </w:p>
        <w:p w:rsidR="006060AA" w:rsidRPr="00FB6A5A" w:rsidRDefault="0026737E" w:rsidP="009E0F5B">
          <w:pPr>
            <w:ind w:left="-46" w:right="-249"/>
            <w:rPr>
              <w:color w:val="6D6F71"/>
              <w:sz w:val="11"/>
              <w:szCs w:val="11"/>
            </w:rPr>
          </w:pPr>
          <w:r w:rsidRPr="00FB6A5A">
            <w:rPr>
              <w:color w:val="6D6F71"/>
              <w:sz w:val="11"/>
              <w:szCs w:val="11"/>
            </w:rPr>
            <w:t xml:space="preserve"> An agency of the European Union      </w:t>
          </w:r>
          <w:r w:rsidRPr="00E92D7D">
            <w:rPr>
              <w:noProof/>
              <w:lang w:val="nb-NO" w:eastAsia="nb-NO"/>
            </w:rPr>
            <w:drawing>
              <wp:inline distT="0" distB="0" distL="0" distR="0">
                <wp:extent cx="392430" cy="269240"/>
                <wp:effectExtent l="0" t="0" r="7620" b="0"/>
                <wp:docPr id="4" name="Picture 4"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39092" name="Picture 3"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2430" cy="269240"/>
                        </a:xfrm>
                        <a:prstGeom prst="rect">
                          <a:avLst/>
                        </a:prstGeom>
                        <a:noFill/>
                        <a:ln>
                          <a:noFill/>
                        </a:ln>
                      </pic:spPr>
                    </pic:pic>
                  </a:graphicData>
                </a:graphic>
              </wp:inline>
            </w:drawing>
          </w:r>
        </w:p>
      </w:tc>
    </w:tr>
    <w:tr w:rsidR="009759A4" w:rsidTr="009E0F5B">
      <w:tc>
        <w:tcPr>
          <w:tcW w:w="6737" w:type="dxa"/>
          <w:shd w:val="clear" w:color="auto" w:fill="auto"/>
        </w:tcPr>
        <w:p w:rsidR="006060AA" w:rsidRPr="00895A25" w:rsidRDefault="0026737E" w:rsidP="009E0F5B">
          <w:pPr>
            <w:pStyle w:val="NormalAgency"/>
          </w:pPr>
          <w:r w:rsidRPr="00FB6A5A">
            <w:rPr>
              <w:b/>
              <w:color w:val="003399"/>
              <w:sz w:val="13"/>
              <w:szCs w:val="14"/>
            </w:rPr>
            <w:t>Address for visits and deliveries</w:t>
          </w:r>
          <w:r w:rsidRPr="00BC37BD">
            <w:t xml:space="preserve">  </w:t>
          </w:r>
          <w:r w:rsidRPr="00FB6A5A">
            <w:rPr>
              <w:color w:val="808080"/>
              <w:sz w:val="14"/>
              <w:szCs w:val="14"/>
            </w:rPr>
            <w:t>Refer</w:t>
          </w:r>
          <w:r w:rsidRPr="00FB6A5A">
            <w:rPr>
              <w:color w:val="808080"/>
              <w:sz w:val="14"/>
              <w:szCs w:val="14"/>
            </w:rPr>
            <w:t xml:space="preserve"> to www.ema.europa.eu/how-to-find-us </w:t>
          </w:r>
        </w:p>
      </w:tc>
      <w:tc>
        <w:tcPr>
          <w:tcW w:w="2756" w:type="dxa"/>
          <w:vMerge/>
          <w:shd w:val="clear" w:color="auto" w:fill="auto"/>
        </w:tcPr>
        <w:p w:rsidR="006060AA" w:rsidRPr="00FB6A5A" w:rsidRDefault="006060AA" w:rsidP="009E0F5B">
          <w:pPr>
            <w:rPr>
              <w:sz w:val="11"/>
              <w:szCs w:val="11"/>
            </w:rPr>
          </w:pPr>
        </w:p>
      </w:tc>
    </w:tr>
    <w:tr w:rsidR="009759A4" w:rsidTr="009E0F5B">
      <w:trPr>
        <w:trHeight w:val="171"/>
      </w:trPr>
      <w:tc>
        <w:tcPr>
          <w:tcW w:w="6737" w:type="dxa"/>
          <w:shd w:val="clear" w:color="auto" w:fill="auto"/>
        </w:tcPr>
        <w:tbl>
          <w:tblPr>
            <w:tblW w:w="6521" w:type="dxa"/>
            <w:tblCellMar>
              <w:left w:w="0" w:type="dxa"/>
              <w:right w:w="0" w:type="dxa"/>
            </w:tblCellMar>
            <w:tblLook w:val="01E0" w:firstRow="1" w:lastRow="1" w:firstColumn="1" w:lastColumn="1" w:noHBand="0" w:noVBand="0"/>
          </w:tblPr>
          <w:tblGrid>
            <w:gridCol w:w="4111"/>
            <w:gridCol w:w="2410"/>
          </w:tblGrid>
          <w:tr w:rsidR="009759A4" w:rsidTr="009E0F5B">
            <w:trPr>
              <w:trHeight w:hRule="exact" w:val="198"/>
            </w:trPr>
            <w:tc>
              <w:tcPr>
                <w:tcW w:w="4111" w:type="dxa"/>
                <w:vAlign w:val="bottom"/>
              </w:tcPr>
              <w:p w:rsidR="006060AA" w:rsidRPr="00BC37BD" w:rsidRDefault="0026737E" w:rsidP="009E0F5B">
                <w:pPr>
                  <w:pStyle w:val="NormalAgency"/>
                  <w:framePr w:wrap="around" w:vAnchor="text" w:hAnchor="margin" w:y="273"/>
                </w:pPr>
                <w:r w:rsidRPr="00FD7DF3">
                  <w:rPr>
                    <w:b/>
                    <w:color w:val="003399"/>
                    <w:sz w:val="13"/>
                    <w:szCs w:val="14"/>
                  </w:rPr>
                  <w:t>Send us a question</w:t>
                </w:r>
                <w:r w:rsidRPr="00BC37BD">
                  <w:t xml:space="preserve"> </w:t>
                </w:r>
                <w:r w:rsidRPr="001F6034">
                  <w:rPr>
                    <w:color w:val="808080"/>
                    <w:sz w:val="14"/>
                    <w:szCs w:val="14"/>
                  </w:rPr>
                  <w:t>Go to</w:t>
                </w:r>
                <w:r>
                  <w:t xml:space="preserve"> </w:t>
                </w:r>
                <w:r w:rsidRPr="001F6034">
                  <w:rPr>
                    <w:color w:val="808080"/>
                    <w:sz w:val="14"/>
                    <w:szCs w:val="14"/>
                  </w:rPr>
                  <w:t>www.ema.europa.eu/contact</w:t>
                </w:r>
                <w:r w:rsidRPr="00BC37BD">
                  <w:t xml:space="preserve"> </w:t>
                </w:r>
              </w:p>
            </w:tc>
            <w:tc>
              <w:tcPr>
                <w:tcW w:w="2410" w:type="dxa"/>
                <w:vAlign w:val="bottom"/>
              </w:tcPr>
              <w:p w:rsidR="006060AA" w:rsidRPr="00BC37BD" w:rsidRDefault="0026737E" w:rsidP="009E0F5B">
                <w:pPr>
                  <w:pStyle w:val="NormalAgency"/>
                  <w:framePr w:wrap="around" w:vAnchor="text" w:hAnchor="margin" w:y="273"/>
                  <w:rPr>
                    <w:b/>
                  </w:rPr>
                </w:pPr>
                <w:r w:rsidRPr="002C78C2">
                  <w:rPr>
                    <w:b/>
                    <w:color w:val="003399"/>
                    <w:sz w:val="13"/>
                    <w:szCs w:val="14"/>
                  </w:rPr>
                  <w:t xml:space="preserve">Telephone </w:t>
                </w:r>
                <w:r w:rsidRPr="002C78C2">
                  <w:rPr>
                    <w:color w:val="6D6F71"/>
                    <w:sz w:val="14"/>
                    <w:szCs w:val="14"/>
                  </w:rPr>
                  <w:t>+31 (0)88 781</w:t>
                </w:r>
                <w:r w:rsidRPr="00BC37BD">
                  <w:t xml:space="preserve"> </w:t>
                </w:r>
                <w:r w:rsidRPr="002C78C2">
                  <w:rPr>
                    <w:color w:val="6D6F71"/>
                    <w:sz w:val="14"/>
                    <w:szCs w:val="14"/>
                  </w:rPr>
                  <w:t>6000</w:t>
                </w:r>
              </w:p>
            </w:tc>
          </w:tr>
        </w:tbl>
        <w:p w:rsidR="006060AA" w:rsidRPr="00FB6A5A" w:rsidRDefault="006060AA" w:rsidP="009E0F5B">
          <w:pPr>
            <w:rPr>
              <w:sz w:val="11"/>
              <w:szCs w:val="11"/>
            </w:rPr>
          </w:pPr>
        </w:p>
      </w:tc>
      <w:tc>
        <w:tcPr>
          <w:tcW w:w="2756" w:type="dxa"/>
          <w:vMerge/>
          <w:shd w:val="clear" w:color="auto" w:fill="auto"/>
        </w:tcPr>
        <w:p w:rsidR="006060AA" w:rsidRPr="00FB6A5A" w:rsidRDefault="006060AA" w:rsidP="009E0F5B">
          <w:pPr>
            <w:rPr>
              <w:sz w:val="11"/>
              <w:szCs w:val="11"/>
            </w:rPr>
          </w:pPr>
        </w:p>
      </w:tc>
    </w:tr>
    <w:tr w:rsidR="009759A4" w:rsidTr="009E0F5B">
      <w:trPr>
        <w:trHeight w:val="123"/>
      </w:trPr>
      <w:tc>
        <w:tcPr>
          <w:tcW w:w="9493" w:type="dxa"/>
          <w:gridSpan w:val="2"/>
          <w:shd w:val="clear" w:color="auto" w:fill="auto"/>
        </w:tcPr>
        <w:p w:rsidR="006060AA" w:rsidRPr="00FB6A5A" w:rsidRDefault="006060AA" w:rsidP="009E0F5B">
          <w:pPr>
            <w:rPr>
              <w:sz w:val="11"/>
              <w:szCs w:val="11"/>
            </w:rPr>
          </w:pPr>
        </w:p>
      </w:tc>
    </w:tr>
    <w:tr w:rsidR="009759A4" w:rsidTr="009E0F5B">
      <w:trPr>
        <w:trHeight w:val="351"/>
      </w:trPr>
      <w:tc>
        <w:tcPr>
          <w:tcW w:w="9493" w:type="dxa"/>
          <w:gridSpan w:val="2"/>
          <w:shd w:val="clear" w:color="auto" w:fill="auto"/>
        </w:tcPr>
        <w:p w:rsidR="006060AA" w:rsidRPr="00B56DA9" w:rsidRDefault="0026737E" w:rsidP="009E0F5B">
          <w:pPr>
            <w:rPr>
              <w:color w:val="6D6F71"/>
              <w:sz w:val="14"/>
              <w:szCs w:val="14"/>
            </w:rPr>
          </w:pPr>
          <w:r w:rsidRPr="00FB6A5A">
            <w:rPr>
              <w:color w:val="6D6F71"/>
              <w:sz w:val="14"/>
              <w:szCs w:val="14"/>
            </w:rPr>
            <w:t>© European Medicines Agency,</w:t>
          </w:r>
          <w:r w:rsidRPr="00BC37BD">
            <w:t xml:space="preserve"> </w:t>
          </w:r>
          <w:r w:rsidRPr="00FB6A5A">
            <w:rPr>
              <w:color w:val="6D6F71"/>
              <w:sz w:val="14"/>
              <w:szCs w:val="14"/>
            </w:rPr>
            <w:fldChar w:fldCharType="begin"/>
          </w:r>
          <w:r w:rsidRPr="00FB6A5A">
            <w:rPr>
              <w:color w:val="6D6F71"/>
              <w:sz w:val="14"/>
              <w:szCs w:val="14"/>
            </w:rPr>
            <w:instrText xml:space="preserve"> DATE  \@ "yyyy"  \* MERGEFORMAT </w:instrText>
          </w:r>
          <w:r w:rsidRPr="00FB6A5A">
            <w:rPr>
              <w:color w:val="6D6F71"/>
              <w:sz w:val="14"/>
              <w:szCs w:val="14"/>
            </w:rPr>
            <w:fldChar w:fldCharType="separate"/>
          </w:r>
          <w:r>
            <w:rPr>
              <w:noProof/>
              <w:color w:val="6D6F71"/>
              <w:sz w:val="14"/>
              <w:szCs w:val="14"/>
            </w:rPr>
            <w:t>2020</w:t>
          </w:r>
          <w:r w:rsidRPr="00FB6A5A">
            <w:rPr>
              <w:color w:val="6D6F71"/>
              <w:sz w:val="14"/>
              <w:szCs w:val="14"/>
            </w:rPr>
            <w:fldChar w:fldCharType="end"/>
          </w:r>
          <w:r w:rsidRPr="00FB6A5A">
            <w:rPr>
              <w:color w:val="6D6F71"/>
              <w:sz w:val="14"/>
              <w:szCs w:val="14"/>
            </w:rPr>
            <w:t xml:space="preserve">. Reproduction is authorised provided the source is </w:t>
          </w:r>
          <w:r w:rsidRPr="00FB6A5A">
            <w:rPr>
              <w:color w:val="6D6F71"/>
              <w:sz w:val="14"/>
              <w:szCs w:val="14"/>
            </w:rPr>
            <w:t>acknowledged.</w:t>
          </w:r>
        </w:p>
      </w:tc>
    </w:tr>
  </w:tbl>
  <w:p w:rsidR="006060AA" w:rsidRDefault="006060AA" w:rsidP="00C9688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F8D" w:rsidRDefault="0026737E">
      <w:r>
        <w:separator/>
      </w:r>
    </w:p>
  </w:footnote>
  <w:footnote w:type="continuationSeparator" w:id="0">
    <w:p w:rsidR="00145F8D" w:rsidRDefault="0026737E">
      <w:r>
        <w:continuationSeparator/>
      </w:r>
    </w:p>
  </w:footnote>
  <w:footnote w:id="1">
    <w:p w:rsidR="0028343C" w:rsidRPr="0028343C" w:rsidRDefault="0026737E" w:rsidP="0028343C">
      <w:pPr>
        <w:pStyle w:val="FootnotetextAgency"/>
      </w:pPr>
      <w:r w:rsidRPr="0028343C">
        <w:rPr>
          <w:rStyle w:val="FootnotereferenceAgency"/>
        </w:rPr>
        <w:footnoteRef/>
      </w:r>
      <w:r w:rsidRPr="0028343C">
        <w:t xml:space="preserve"> </w:t>
      </w:r>
      <w:r w:rsidR="0068255E">
        <w:t xml:space="preserve">Covid-19 pandemic </w:t>
      </w:r>
      <w:r w:rsidR="004A5727">
        <w:t>EMA Task Force</w:t>
      </w:r>
      <w:r w:rsidR="0068255E">
        <w:t xml:space="preserve"> (ETF)</w:t>
      </w:r>
      <w:r w:rsidR="00D82FE9">
        <w:t xml:space="preserve">; </w:t>
      </w:r>
      <w:hyperlink r:id="rId1" w:history="1">
        <w:r w:rsidR="00D82FE9" w:rsidRPr="00690746">
          <w:rPr>
            <w:rStyle w:val="Hyperlink"/>
          </w:rPr>
          <w:t>https://www.ema.europa.eu/en/human-regulatory/overview/public-health-threats/coronavirus-disease-covid-19/emas-governance-during-covid-19-pandemic#covid-19-ema-pandemic-task-force-section</w:t>
        </w:r>
      </w:hyperlink>
      <w:r w:rsidR="00D82FE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55E" w:rsidRDefault="002673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219" o:spid="_x0000_s1026" type="#_x0000_t136" style="position:absolute;margin-left:0;margin-top:0;width:552.95pt;height:110.55pt;rotation:315;z-index:-251655168;mso-position-horizontal:center;mso-position-horizontal-relative:margin;mso-position-vertical:center;mso-position-vertical-relative:margin" o:allowincell="f" fillcolor="silver" stroked="f">
          <v:fill opacity=".5"/>
          <v:textpath style="font-family:&quot;Verdana&quot;;font-size:1pt" string="EMBAR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55E" w:rsidRDefault="002673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220" o:spid="_x0000_s1027" type="#_x0000_t136" style="position:absolute;margin-left:0;margin-top:0;width:552.95pt;height:110.55pt;rotation:315;z-index:-251653120;mso-position-horizontal:center;mso-position-horizontal-relative:margin;mso-position-vertical:center;mso-position-vertical-relative:margin" o:allowincell="f" fillcolor="silver" stroked="f">
          <v:fill opacity=".5"/>
          <v:textpath style="font-family:&quot;Verdana&quot;;font-size:1pt" string="EMBARG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0AA" w:rsidRDefault="0026737E">
    <w:pPr>
      <w:pStyle w:val="FooterAgency"/>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218" o:spid="_x0000_s1025" type="#_x0000_t136" style="position:absolute;left:0;text-align:left;margin-left:0;margin-top:0;width:552.95pt;height:110.55pt;rotation:315;z-index:-251657216;mso-position-horizontal:center;mso-position-horizontal-relative:margin;mso-position-vertical:center;mso-position-vertical-relative:margin" o:allowincell="f" fillcolor="silver" stroked="f">
          <v:fill opacity=".5"/>
          <v:textpath style="font-family:&quot;Verdana&quot;;font-size:1pt" string="EMBARGO"/>
        </v:shape>
      </w:pict>
    </w:r>
    <w:r>
      <w:rPr>
        <w:noProof/>
        <w:lang w:val="nb-NO" w:eastAsia="nb-NO"/>
      </w:rPr>
      <w:drawing>
        <wp:inline distT="0" distB="0" distL="0" distR="0">
          <wp:extent cx="3562350" cy="1800225"/>
          <wp:effectExtent l="0" t="0" r="0" b="9525"/>
          <wp:docPr id="3" name="Picture 3"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402304"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r w:rsidRPr="00870325">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5490D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8CF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FCB5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60D7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54D1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1E8A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441D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808F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42E5B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1AC7B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3916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5" w15:restartNumberingAfterBreak="0">
    <w:nsid w:val="3EEB7FE2"/>
    <w:multiLevelType w:val="multilevel"/>
    <w:tmpl w:val="0F1AC90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6" w15:restartNumberingAfterBreak="0">
    <w:nsid w:val="51E21733"/>
    <w:multiLevelType w:val="multilevel"/>
    <w:tmpl w:val="A94C57BE"/>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isLg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17" w15:restartNumberingAfterBreak="0">
    <w:nsid w:val="594C13B9"/>
    <w:multiLevelType w:val="singleLevel"/>
    <w:tmpl w:val="80326770"/>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5"/>
  </w:num>
  <w:num w:numId="3">
    <w:abstractNumId w:val="10"/>
  </w:num>
  <w:num w:numId="4">
    <w:abstractNumId w:val="12"/>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4"/>
  </w:num>
  <w:num w:numId="15">
    <w:abstractNumId w:val="11"/>
  </w:num>
  <w:num w:numId="16">
    <w:abstractNumId w:val="18"/>
  </w:num>
  <w:num w:numId="17">
    <w:abstractNumId w:val="19"/>
  </w:num>
  <w:num w:numId="18">
    <w:abstractNumId w:val="13"/>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2"/>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 w:numId="39">
    <w:abstractNumId w:val="16"/>
  </w:num>
  <w:num w:numId="40">
    <w:abstractNumId w:val="14"/>
  </w:num>
  <w:num w:numId="41">
    <w:abstractNumId w:val="11"/>
  </w:num>
  <w:num w:numId="42">
    <w:abstractNumId w:val="16"/>
  </w:num>
  <w:num w:numId="43">
    <w:abstractNumId w:val="16"/>
  </w:num>
  <w:num w:numId="44">
    <w:abstractNumId w:val="16"/>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B08" w:allStyles="0" w:customStyles="0" w:latentStyles="0" w:stylesInUse="1" w:headingStyles="0" w:numberingStyles="0" w:tableStyles="0" w:directFormattingOnRuns="1" w:directFormattingOnParagraphs="1" w:directFormattingOnNumbering="0" w:directFormattingOnTables="1"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D3D"/>
    <w:rsid w:val="000351DF"/>
    <w:rsid w:val="000368C4"/>
    <w:rsid w:val="00076F5C"/>
    <w:rsid w:val="000A55A8"/>
    <w:rsid w:val="000C080F"/>
    <w:rsid w:val="00145F8D"/>
    <w:rsid w:val="00160E2B"/>
    <w:rsid w:val="001D0E72"/>
    <w:rsid w:val="001E32CE"/>
    <w:rsid w:val="001E51C9"/>
    <w:rsid w:val="001F6034"/>
    <w:rsid w:val="00217241"/>
    <w:rsid w:val="002211C4"/>
    <w:rsid w:val="00226A41"/>
    <w:rsid w:val="002424EF"/>
    <w:rsid w:val="00252584"/>
    <w:rsid w:val="002610E0"/>
    <w:rsid w:val="0026737E"/>
    <w:rsid w:val="00274B77"/>
    <w:rsid w:val="0028343C"/>
    <w:rsid w:val="002C78C2"/>
    <w:rsid w:val="002E2A2F"/>
    <w:rsid w:val="002E2E45"/>
    <w:rsid w:val="00321A33"/>
    <w:rsid w:val="00390AC0"/>
    <w:rsid w:val="00391126"/>
    <w:rsid w:val="003A07BE"/>
    <w:rsid w:val="00401941"/>
    <w:rsid w:val="0042730D"/>
    <w:rsid w:val="004567FD"/>
    <w:rsid w:val="004A5727"/>
    <w:rsid w:val="004C6ED5"/>
    <w:rsid w:val="004C7747"/>
    <w:rsid w:val="00513F77"/>
    <w:rsid w:val="00525C40"/>
    <w:rsid w:val="00541468"/>
    <w:rsid w:val="0054390C"/>
    <w:rsid w:val="005479E1"/>
    <w:rsid w:val="00547D3D"/>
    <w:rsid w:val="005717EA"/>
    <w:rsid w:val="0057452F"/>
    <w:rsid w:val="00584092"/>
    <w:rsid w:val="005D0894"/>
    <w:rsid w:val="006060AA"/>
    <w:rsid w:val="00626899"/>
    <w:rsid w:val="0063224B"/>
    <w:rsid w:val="006760EF"/>
    <w:rsid w:val="0068255E"/>
    <w:rsid w:val="00690746"/>
    <w:rsid w:val="00696743"/>
    <w:rsid w:val="00730E14"/>
    <w:rsid w:val="00744770"/>
    <w:rsid w:val="007B3D8A"/>
    <w:rsid w:val="007C5BB1"/>
    <w:rsid w:val="007F5374"/>
    <w:rsid w:val="00823605"/>
    <w:rsid w:val="00834809"/>
    <w:rsid w:val="0084578B"/>
    <w:rsid w:val="00870325"/>
    <w:rsid w:val="008758CC"/>
    <w:rsid w:val="00894C7F"/>
    <w:rsid w:val="00895A25"/>
    <w:rsid w:val="008969D2"/>
    <w:rsid w:val="008C75BE"/>
    <w:rsid w:val="008E661F"/>
    <w:rsid w:val="009065ED"/>
    <w:rsid w:val="00912CBE"/>
    <w:rsid w:val="00944C70"/>
    <w:rsid w:val="00950328"/>
    <w:rsid w:val="00956ADD"/>
    <w:rsid w:val="009759A4"/>
    <w:rsid w:val="009C0AD8"/>
    <w:rsid w:val="009D7724"/>
    <w:rsid w:val="009E0F5B"/>
    <w:rsid w:val="009E601B"/>
    <w:rsid w:val="00A038E4"/>
    <w:rsid w:val="00A06FAD"/>
    <w:rsid w:val="00A233FD"/>
    <w:rsid w:val="00A44B87"/>
    <w:rsid w:val="00A57AB5"/>
    <w:rsid w:val="00A66C62"/>
    <w:rsid w:val="00A70F0F"/>
    <w:rsid w:val="00A76397"/>
    <w:rsid w:val="00AD597E"/>
    <w:rsid w:val="00AE40A9"/>
    <w:rsid w:val="00B26FAB"/>
    <w:rsid w:val="00B46263"/>
    <w:rsid w:val="00B56DA9"/>
    <w:rsid w:val="00B84219"/>
    <w:rsid w:val="00BA23C9"/>
    <w:rsid w:val="00BA65FD"/>
    <w:rsid w:val="00BB654C"/>
    <w:rsid w:val="00BC37BD"/>
    <w:rsid w:val="00C1183B"/>
    <w:rsid w:val="00C57653"/>
    <w:rsid w:val="00C958A4"/>
    <w:rsid w:val="00C96886"/>
    <w:rsid w:val="00CE789B"/>
    <w:rsid w:val="00CF40A2"/>
    <w:rsid w:val="00D024BA"/>
    <w:rsid w:val="00D04548"/>
    <w:rsid w:val="00D1672B"/>
    <w:rsid w:val="00D6107B"/>
    <w:rsid w:val="00D82FE9"/>
    <w:rsid w:val="00D915CB"/>
    <w:rsid w:val="00D935C2"/>
    <w:rsid w:val="00D95CCD"/>
    <w:rsid w:val="00DB2F82"/>
    <w:rsid w:val="00DE27E0"/>
    <w:rsid w:val="00E310E1"/>
    <w:rsid w:val="00E3259D"/>
    <w:rsid w:val="00E35027"/>
    <w:rsid w:val="00E85A15"/>
    <w:rsid w:val="00E93E78"/>
    <w:rsid w:val="00EB15F1"/>
    <w:rsid w:val="00EE217E"/>
    <w:rsid w:val="00F21C4E"/>
    <w:rsid w:val="00F55876"/>
    <w:rsid w:val="00FB440D"/>
    <w:rsid w:val="00FB6A5A"/>
    <w:rsid w:val="00FD7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F8A12B"/>
  <w15:docId w15:val="{9672064C-4DD5-4666-B6BB-1E160FC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F40A2"/>
    <w:rPr>
      <w:sz w:val="18"/>
      <w:szCs w:val="18"/>
    </w:rPr>
  </w:style>
  <w:style w:type="paragraph" w:styleId="Heading1">
    <w:name w:val="heading 1"/>
    <w:basedOn w:val="No-numheading1Agency"/>
    <w:next w:val="BodytextAgency"/>
    <w:semiHidden/>
    <w:qFormat/>
    <w:rPr>
      <w:noProof/>
    </w:rPr>
  </w:style>
  <w:style w:type="paragraph" w:styleId="Heading2">
    <w:name w:val="heading 2"/>
    <w:basedOn w:val="No-numheading2Agency"/>
    <w:next w:val="BodytextAgency"/>
    <w:semiHidden/>
    <w:qFormat/>
  </w:style>
  <w:style w:type="paragraph" w:styleId="Heading3">
    <w:name w:val="heading 3"/>
    <w:basedOn w:val="No-numheading3Agency"/>
    <w:next w:val="BodytextAgency"/>
    <w:semiHidden/>
    <w:qFormat/>
  </w:style>
  <w:style w:type="paragraph" w:styleId="Heading4">
    <w:name w:val="heading 4"/>
    <w:basedOn w:val="No-numheading4Agency"/>
    <w:next w:val="BodytextAgency"/>
    <w:semiHidden/>
    <w:qFormat/>
  </w:style>
  <w:style w:type="paragraph" w:styleId="Heading5">
    <w:name w:val="heading 5"/>
    <w:basedOn w:val="Normal"/>
    <w:next w:val="Normal"/>
    <w:semiHidden/>
    <w:qFormat/>
    <w:pPr>
      <w:keepNext/>
      <w:spacing w:before="280" w:after="220"/>
      <w:outlineLvl w:val="4"/>
    </w:pPr>
    <w:rPr>
      <w:rFonts w:eastAsia="Verdana" w:cs="Arial"/>
      <w:b/>
      <w:bCs/>
      <w:i/>
      <w:kern w:val="32"/>
    </w:rPr>
  </w:style>
  <w:style w:type="paragraph" w:styleId="Heading6">
    <w:name w:val="heading 6"/>
    <w:basedOn w:val="No-numheading6Agency"/>
    <w:next w:val="BodytextAgency"/>
    <w:semiHidden/>
    <w:qFormat/>
  </w:style>
  <w:style w:type="paragraph" w:styleId="Heading7">
    <w:name w:val="heading 7"/>
    <w:basedOn w:val="No-numheading7Agency"/>
    <w:next w:val="BodytextAgency"/>
    <w:semiHidden/>
    <w:qFormat/>
  </w:style>
  <w:style w:type="paragraph" w:styleId="Heading8">
    <w:name w:val="heading 8"/>
    <w:basedOn w:val="No-numheading8Agency"/>
    <w:next w:val="BodytextAgency"/>
    <w:semiHidden/>
    <w:qFormat/>
  </w:style>
  <w:style w:type="paragraph" w:styleId="Heading9">
    <w:name w:val="heading 9"/>
    <w:basedOn w:val="No-numheading9Agency"/>
    <w:next w:val="BodytextAgency"/>
    <w:semiHidden/>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semiHidden/>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uiPriority w:val="99"/>
    <w:rPr>
      <w:color w:val="0000FF"/>
      <w:u w:val="single"/>
    </w:rPr>
  </w:style>
  <w:style w:type="paragraph" w:styleId="FootnoteText">
    <w:name w:val="footnote text"/>
    <w:basedOn w:val="Normal"/>
    <w:semiHidden/>
    <w:rPr>
      <w:rFonts w:eastAsia="Verdana"/>
      <w:sz w:val="15"/>
      <w:szCs w:val="20"/>
    </w:rPr>
  </w:style>
  <w:style w:type="character" w:styleId="FootnoteReference">
    <w:name w:val="footnote reference"/>
    <w:semiHidden/>
    <w:rPr>
      <w:rFonts w:ascii="Verdana" w:hAnsi="Verdana"/>
      <w:vertAlign w:val="superscript"/>
    </w:rPr>
  </w:style>
  <w:style w:type="paragraph" w:styleId="TOC1">
    <w:name w:val="toc 1"/>
    <w:basedOn w:val="Normal"/>
    <w:next w:val="BodytextAgency"/>
    <w:uiPriority w:val="39"/>
    <w:unhideWhenUsed/>
    <w:pPr>
      <w:keepNext/>
      <w:tabs>
        <w:tab w:val="right" w:leader="dot" w:pos="9401"/>
      </w:tabs>
      <w:spacing w:before="140" w:after="57" w:line="240" w:lineRule="atLeast"/>
    </w:pPr>
    <w:rPr>
      <w:rFonts w:eastAsia="Verdana"/>
      <w:b/>
      <w:noProof/>
      <w:sz w:val="22"/>
      <w:szCs w:val="22"/>
    </w:rPr>
  </w:style>
  <w:style w:type="paragraph" w:styleId="BodyText">
    <w:name w:val="Body Text"/>
    <w:basedOn w:val="Normal"/>
    <w:semiHidden/>
    <w:pPr>
      <w:spacing w:after="140" w:line="280" w:lineRule="atLeast"/>
    </w:pPr>
  </w:style>
  <w:style w:type="paragraph" w:styleId="BodyText2">
    <w:name w:val="Body Text 2"/>
    <w:basedOn w:val="Normal"/>
    <w:semiHidden/>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6060AA"/>
    <w:rPr>
      <w:rFonts w:eastAsia="Verdana" w:cs="Verdana"/>
      <w:color w:val="6D6F71"/>
      <w:sz w:val="14"/>
      <w:szCs w:val="14"/>
    </w:rPr>
  </w:style>
  <w:style w:type="paragraph" w:customStyle="1" w:styleId="FooterblueAgency">
    <w:name w:val="Footer blue (Agency)"/>
    <w:basedOn w:val="Normal"/>
    <w:link w:val="FooterblueAgencyCharChar"/>
    <w:rsid w:val="006060AA"/>
    <w:rPr>
      <w:rFonts w:eastAsia="Verdana" w:cs="Verdana"/>
      <w:b/>
      <w:color w:val="003399"/>
      <w:sz w:val="13"/>
      <w:szCs w:val="14"/>
    </w:rPr>
  </w:style>
  <w:style w:type="table" w:customStyle="1" w:styleId="FootertableAgency">
    <w:name w:val="Footer table (Agency)"/>
    <w:basedOn w:val="TableNormal"/>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TableNormal"/>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rsid w:val="00D04548"/>
    <w:pPr>
      <w:spacing w:after="140" w:line="280" w:lineRule="atLeast"/>
    </w:pPr>
    <w:rPr>
      <w:rFonts w:eastAsia="Verdana"/>
    </w:rPr>
  </w:style>
  <w:style w:type="numbering" w:customStyle="1" w:styleId="BulletsAgency">
    <w:name w:val="Bullets (Agency)"/>
    <w:basedOn w:val="NoList"/>
    <w:pPr>
      <w:numPr>
        <w:numId w:val="3"/>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pPr>
      <w:spacing w:after="640" w:line="360" w:lineRule="atLeast"/>
    </w:pPr>
    <w:rPr>
      <w:rFonts w:eastAsia="Verdana"/>
      <w:sz w:val="24"/>
      <w:szCs w:val="24"/>
    </w:rPr>
  </w:style>
  <w:style w:type="paragraph" w:customStyle="1" w:styleId="DoctitleAgency">
    <w:name w:val="Doc title (Agency)"/>
    <w:basedOn w:val="Normal"/>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pPr>
      <w:spacing w:after="140" w:line="280" w:lineRule="atLeast"/>
    </w:pPr>
    <w:rPr>
      <w:rFonts w:ascii="Courier New" w:eastAsia="Verdana" w:hAnsi="Courier New"/>
      <w:i/>
      <w:color w:val="339966"/>
      <w:sz w:val="22"/>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EndnoteText">
    <w:name w:val="endnote text"/>
    <w:basedOn w:val="Normal"/>
    <w:semiHidden/>
    <w:rPr>
      <w:rFonts w:eastAsia="Verdana"/>
      <w:sz w:val="15"/>
      <w:szCs w:val="15"/>
    </w:rPr>
  </w:style>
  <w:style w:type="paragraph" w:customStyle="1" w:styleId="EndnotetextAgency">
    <w:name w:val="Endnote text (Agency)"/>
    <w:basedOn w:val="Normal"/>
    <w:unhideWhenUsed/>
    <w:rPr>
      <w:rFonts w:eastAsia="Verdana"/>
      <w:sz w:val="15"/>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30"/>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rPr>
  </w:style>
  <w:style w:type="paragraph" w:customStyle="1" w:styleId="HeaderAgency">
    <w:name w:val="Header (Agency)"/>
    <w:basedOn w:val="Normal"/>
    <w:unhideWhenUsed/>
    <w:rPr>
      <w:rFonts w:eastAsia="Verdana"/>
    </w:rPr>
  </w:style>
  <w:style w:type="paragraph" w:customStyle="1" w:styleId="Heading1Agency">
    <w:name w:val="Heading 1 (Agency)"/>
    <w:basedOn w:val="Normal"/>
    <w:next w:val="BodytextAgency"/>
    <w:pPr>
      <w:keepNext/>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pPr>
      <w:keepNext/>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pPr>
      <w:keepNext/>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style>
  <w:style w:type="paragraph" w:customStyle="1" w:styleId="No-numheading4Agency">
    <w:name w:val="No-num heading 4 (Agency)"/>
    <w:basedOn w:val="Heading4Agency"/>
    <w:next w:val="BodytextAgency"/>
    <w:pPr>
      <w:numPr>
        <w:ilvl w:val="0"/>
      </w:numPr>
    </w:pPr>
  </w:style>
  <w:style w:type="paragraph" w:customStyle="1" w:styleId="No-numheading5Agency">
    <w:name w:val="No-num heading 5 (Agency)"/>
    <w:basedOn w:val="Heading5Agency"/>
    <w:next w:val="BodytextAgency"/>
    <w:pPr>
      <w:numPr>
        <w:ilvl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qFormat/>
    <w:rPr>
      <w:rFonts w:eastAsia="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rPr>
  </w:style>
  <w:style w:type="numbering" w:customStyle="1" w:styleId="NumberlistAgency">
    <w:name w:val="Number list (Agency)"/>
    <w:basedOn w:val="NoList"/>
    <w:pPr>
      <w:numPr>
        <w:numId w:val="14"/>
      </w:numPr>
    </w:pPr>
  </w:style>
  <w:style w:type="paragraph" w:customStyle="1" w:styleId="RefAgency">
    <w:name w:val="Ref. (Agency)"/>
    <w:basedOn w:val="Normal"/>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41"/>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iPriority w:val="39"/>
    <w:unhideWhenUsed/>
    <w:pPr>
      <w:tabs>
        <w:tab w:val="right" w:leader="dot" w:pos="9401"/>
      </w:tabs>
      <w:spacing w:after="57" w:line="240" w:lineRule="atLeast"/>
    </w:pPr>
    <w:rPr>
      <w:rFonts w:eastAsia="Verdana"/>
      <w:noProof/>
      <w:sz w:val="20"/>
    </w:rPr>
  </w:style>
  <w:style w:type="paragraph" w:styleId="TOC3">
    <w:name w:val="toc 3"/>
    <w:basedOn w:val="Normal"/>
    <w:next w:val="BodytextAgency"/>
    <w:unhideWhenUsed/>
    <w:pPr>
      <w:tabs>
        <w:tab w:val="right" w:leader="dot" w:pos="9401"/>
      </w:tabs>
      <w:spacing w:after="57" w:line="240" w:lineRule="atLeast"/>
    </w:pPr>
    <w:rPr>
      <w:rFonts w:eastAsia="Verdana"/>
      <w:noProof/>
      <w:sz w:val="20"/>
    </w:rPr>
  </w:style>
  <w:style w:type="paragraph" w:styleId="TOC4">
    <w:name w:val="toc 4"/>
    <w:basedOn w:val="Normal"/>
    <w:next w:val="BodytextAgency"/>
    <w:unhideWhenUsed/>
    <w:pPr>
      <w:tabs>
        <w:tab w:val="right" w:leader="dot" w:pos="9401"/>
      </w:tabs>
      <w:spacing w:after="57" w:line="240" w:lineRule="atLeast"/>
    </w:pPr>
    <w:rPr>
      <w:noProof/>
      <w:sz w:val="20"/>
    </w:rPr>
  </w:style>
  <w:style w:type="paragraph" w:styleId="TOC5">
    <w:name w:val="toc 5"/>
    <w:basedOn w:val="Normal"/>
    <w:next w:val="BodytextAgency"/>
    <w:unhideWhenUsed/>
    <w:pPr>
      <w:tabs>
        <w:tab w:val="right" w:leader="dot" w:pos="9401"/>
      </w:tabs>
      <w:spacing w:after="57" w:line="240" w:lineRule="atLeast"/>
    </w:pPr>
    <w:rPr>
      <w:noProof/>
      <w:sz w:val="20"/>
    </w:rPr>
  </w:style>
  <w:style w:type="paragraph" w:styleId="TOC6">
    <w:name w:val="toc 6"/>
    <w:basedOn w:val="Normal"/>
    <w:next w:val="BodytextAgency"/>
    <w:unhideWhenUsed/>
    <w:pPr>
      <w:spacing w:after="57" w:line="240" w:lineRule="exact"/>
    </w:pPr>
    <w:rPr>
      <w:rFonts w:eastAsia="Times New Roman"/>
    </w:rPr>
  </w:style>
  <w:style w:type="paragraph" w:styleId="TOC7">
    <w:name w:val="toc 7"/>
    <w:basedOn w:val="Normal"/>
    <w:next w:val="BodytextAgency"/>
    <w:unhideWhenUsed/>
    <w:pPr>
      <w:spacing w:after="57" w:line="240" w:lineRule="exact"/>
    </w:pPr>
    <w:rPr>
      <w:rFonts w:eastAsia="Times New Roman"/>
    </w:rPr>
  </w:style>
  <w:style w:type="paragraph" w:styleId="TOC8">
    <w:name w:val="toc 8"/>
    <w:basedOn w:val="Normal"/>
    <w:next w:val="BodytextAgency"/>
    <w:unhideWhenUsed/>
    <w:pPr>
      <w:spacing w:after="57" w:line="240" w:lineRule="exact"/>
    </w:pPr>
    <w:rPr>
      <w:rFonts w:eastAsia="Times New Roman"/>
    </w:rPr>
  </w:style>
  <w:style w:type="paragraph" w:styleId="TOC9">
    <w:name w:val="toc 9"/>
    <w:basedOn w:val="Normal"/>
    <w:next w:val="BodytextAgency"/>
    <w:unhideWhenUsed/>
    <w:pPr>
      <w:spacing w:after="57" w:line="240" w:lineRule="exact"/>
    </w:pPr>
    <w:rPr>
      <w:rFonts w:eastAsia="Times New Roman"/>
    </w:rPr>
  </w:style>
  <w:style w:type="numbering" w:styleId="111111">
    <w:name w:val="Outline List 2"/>
    <w:basedOn w:val="NoList"/>
    <w:semiHidden/>
    <w:pPr>
      <w:numPr>
        <w:numId w:val="16"/>
      </w:numPr>
    </w:pPr>
  </w:style>
  <w:style w:type="numbering" w:styleId="1ai">
    <w:name w:val="Outline List 1"/>
    <w:basedOn w:val="NoList"/>
    <w:semiHidden/>
    <w:pPr>
      <w:numPr>
        <w:numId w:val="17"/>
      </w:numPr>
    </w:pPr>
  </w:style>
  <w:style w:type="numbering" w:styleId="ArticleSection">
    <w:name w:val="Outline List 3"/>
    <w:basedOn w:val="NoList"/>
    <w:semiHidden/>
    <w:pPr>
      <w:numPr>
        <w:numId w:val="18"/>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9"/>
      </w:numPr>
    </w:pPr>
  </w:style>
  <w:style w:type="paragraph" w:styleId="ListBullet2">
    <w:name w:val="List Bullet 2"/>
    <w:basedOn w:val="Normal"/>
    <w:semiHidden/>
    <w:pPr>
      <w:numPr>
        <w:numId w:val="20"/>
      </w:numPr>
    </w:pPr>
  </w:style>
  <w:style w:type="paragraph" w:styleId="ListBullet3">
    <w:name w:val="List Bullet 3"/>
    <w:basedOn w:val="Normal"/>
    <w:semiHidden/>
    <w:pPr>
      <w:numPr>
        <w:numId w:val="21"/>
      </w:numPr>
    </w:pPr>
  </w:style>
  <w:style w:type="paragraph" w:styleId="ListBullet4">
    <w:name w:val="List Bullet 4"/>
    <w:basedOn w:val="Normal"/>
    <w:semiHidden/>
    <w:pPr>
      <w:numPr>
        <w:numId w:val="22"/>
      </w:numPr>
    </w:pPr>
  </w:style>
  <w:style w:type="paragraph" w:styleId="ListBullet5">
    <w:name w:val="List Bullet 5"/>
    <w:basedOn w:val="Normal"/>
    <w:semiHidden/>
    <w:pPr>
      <w:numPr>
        <w:numId w:val="2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4"/>
      </w:numPr>
    </w:pPr>
  </w:style>
  <w:style w:type="paragraph" w:styleId="ListNumber2">
    <w:name w:val="List Number 2"/>
    <w:basedOn w:val="Normal"/>
    <w:semiHidden/>
    <w:pPr>
      <w:numPr>
        <w:numId w:val="25"/>
      </w:numPr>
    </w:pPr>
  </w:style>
  <w:style w:type="paragraph" w:styleId="ListNumber3">
    <w:name w:val="List Number 3"/>
    <w:basedOn w:val="Normal"/>
    <w:semiHidden/>
    <w:pPr>
      <w:numPr>
        <w:numId w:val="26"/>
      </w:numPr>
    </w:pPr>
  </w:style>
  <w:style w:type="paragraph" w:styleId="ListNumber4">
    <w:name w:val="List Number 4"/>
    <w:basedOn w:val="Normal"/>
    <w:semiHidden/>
    <w:pPr>
      <w:numPr>
        <w:numId w:val="27"/>
      </w:numPr>
    </w:pPr>
  </w:style>
  <w:style w:type="paragraph" w:styleId="ListNumber5">
    <w:name w:val="List Number 5"/>
    <w:basedOn w:val="Normal"/>
    <w:semiHidden/>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semiHidden/>
    <w:qFormat/>
    <w:rPr>
      <w:b/>
      <w:bCs/>
    </w:rPr>
  </w:style>
  <w:style w:type="paragraph" w:styleId="Subtitle">
    <w:name w:val="Subtitle"/>
    <w:basedOn w:val="Normal"/>
    <w:semiHidden/>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6060AA"/>
    <w:rPr>
      <w:rFonts w:ascii="Verdana" w:hAnsi="Verdana"/>
      <w:sz w:val="14"/>
    </w:rPr>
  </w:style>
  <w:style w:type="character" w:customStyle="1" w:styleId="UnresolvedMention1">
    <w:name w:val="Unresolved Mention1"/>
    <w:basedOn w:val="DefaultParagraphFont"/>
    <w:rsid w:val="002211C4"/>
    <w:rPr>
      <w:color w:val="605E5C"/>
      <w:shd w:val="clear" w:color="auto" w:fill="E1DFDD"/>
    </w:rPr>
  </w:style>
  <w:style w:type="character" w:customStyle="1" w:styleId="UnresolvedMention2">
    <w:name w:val="Unresolved Mention2"/>
    <w:basedOn w:val="DefaultParagraphFont"/>
    <w:rsid w:val="00525C40"/>
    <w:rPr>
      <w:color w:val="605E5C"/>
      <w:shd w:val="clear" w:color="auto" w:fill="E1DFDD"/>
    </w:rPr>
  </w:style>
  <w:style w:type="character" w:customStyle="1" w:styleId="UnresolvedMention3">
    <w:name w:val="Unresolved Mention3"/>
    <w:basedOn w:val="DefaultParagraphFont"/>
    <w:rsid w:val="00894C7F"/>
    <w:rPr>
      <w:color w:val="605E5C"/>
      <w:shd w:val="clear" w:color="auto" w:fill="E1DFDD"/>
    </w:rPr>
  </w:style>
  <w:style w:type="character" w:customStyle="1" w:styleId="UnresolvedMention4">
    <w:name w:val="Unresolved Mention4"/>
    <w:basedOn w:val="DefaultParagraphFont"/>
    <w:rsid w:val="00D82FE9"/>
    <w:rPr>
      <w:color w:val="605E5C"/>
      <w:shd w:val="clear" w:color="auto" w:fill="E1DFDD"/>
    </w:rPr>
  </w:style>
  <w:style w:type="paragraph" w:customStyle="1" w:styleId="PRESSRELEASEPR">
    <w:name w:val="PRESS RELEASE (PR)"/>
    <w:basedOn w:val="Normal"/>
    <w:rsid w:val="0026737E"/>
    <w:pPr>
      <w:jc w:val="center"/>
    </w:pPr>
    <w:rPr>
      <w:rFonts w:ascii="Times New Roman" w:eastAsia="Times New Roman" w:hAnsi="Times New Roman"/>
      <w:b/>
      <w:cap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news/international-regulators-align-positions-phase-3-covid-19-vaccine-trials" TargetMode="External"/><Relationship Id="rId13" Type="http://schemas.openxmlformats.org/officeDocument/2006/relationships/hyperlink" Target="https://www.ema.europa.eu/en/documents/scientific-guideline/draft-guideline-clinical-evaluation-vaccines-revision-1_en.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lancet.com/journals/laninf/article/PIIS1473-3099(20)30483-7/fulltex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news/international-regulators-align-positions-phase-3-covid-19-vaccine-trial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ma.europa.eu/en/documents/scientific-guideline/draft-guideline-clinical-evaluation-vaccines-revision-1_e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helancet.com/journals/laninf/article/PIIS1473-3099(20)30483-7/fulltext"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human-regulatory/overview/public-health-threats/coronavirus-disease-covid-19/emas-governance-during-covid-19-pandemic#covid-19-ema-pandemic-task-force-sec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BAF3-FEBA-4A53-AAE8-1202B92A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B2153FFD</Template>
  <TotalTime>1</TotalTime>
  <Pages>5</Pages>
  <Words>1261</Words>
  <Characters>8747</Characters>
  <Application>Microsoft Office Word</Application>
  <DocSecurity>4</DocSecurity>
  <Lines>72</Lines>
  <Paragraphs>19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EMA considerations on Covid-19 vaccine approval</vt:lpstr>
      <vt:lpstr>EMA considerations on Covid-19 vaccines approval</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 considerations on Covid-19 vaccine approval</dc:title>
  <dc:subject>EMA considerations on Covid-19 vaccine approval</dc:subject>
  <dc:creator>European Medicines Agency</dc:creator>
  <cp:keywords>EMA considerations on Covid-19 vaccine approval</cp:keywords>
  <cp:lastModifiedBy>Malaguti Linda</cp:lastModifiedBy>
  <cp:revision>2</cp:revision>
  <dcterms:created xsi:type="dcterms:W3CDTF">2020-11-18T18:15:00Z</dcterms:created>
  <dcterms:modified xsi:type="dcterms:W3CDTF">2020-11-18T18:15:00Z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17/11/2020 17:48:21</vt:lpwstr>
  </property>
  <property fmtid="{D5CDD505-2E9C-101B-9397-08002B2CF9AE}" pid="5" name="DM_Creator_Name">
    <vt:lpwstr>Turobos Katarzyna</vt:lpwstr>
  </property>
  <property fmtid="{D5CDD505-2E9C-101B-9397-08002B2CF9AE}" pid="6" name="DM_DocRefId">
    <vt:lpwstr>EMA/592928/2020</vt:lpwstr>
  </property>
  <property fmtid="{D5CDD505-2E9C-101B-9397-08002B2CF9AE}" pid="7" name="DM_emea_doc_ref_id">
    <vt:lpwstr>EMA/592928/2020</vt:lpwstr>
  </property>
  <property fmtid="{D5CDD505-2E9C-101B-9397-08002B2CF9AE}" pid="8" name="DM_Keywords">
    <vt:lpwstr/>
  </property>
  <property fmtid="{D5CDD505-2E9C-101B-9397-08002B2CF9AE}" pid="9" name="DM_Language">
    <vt:lpwstr/>
  </property>
  <property fmtid="{D5CDD505-2E9C-101B-9397-08002B2CF9AE}" pid="10" name="DM_Modifer_Name">
    <vt:lpwstr>Turobos Katarzyna</vt:lpwstr>
  </property>
  <property fmtid="{D5CDD505-2E9C-101B-9397-08002B2CF9AE}" pid="11" name="DM_Modified_Date">
    <vt:lpwstr>17/11/2020 17:48:21</vt:lpwstr>
  </property>
  <property fmtid="{D5CDD505-2E9C-101B-9397-08002B2CF9AE}" pid="12" name="DM_Modifier_Name">
    <vt:lpwstr>Turobos Katarzyna</vt:lpwstr>
  </property>
  <property fmtid="{D5CDD505-2E9C-101B-9397-08002B2CF9AE}" pid="13" name="DM_Modify_Date">
    <vt:lpwstr>17/11/2020 17:48:21</vt:lpwstr>
  </property>
  <property fmtid="{D5CDD505-2E9C-101B-9397-08002B2CF9AE}" pid="14" name="DM_Name">
    <vt:lpwstr>EMA considerations on Covid-19 vaccine approval</vt:lpwstr>
  </property>
  <property fmtid="{D5CDD505-2E9C-101B-9397-08002B2CF9AE}" pid="15" name="DM_Path">
    <vt:lpwstr>/01. Evaluation of Medicines/Health Threats &amp; Crisis/05. Health Threats 2020/01. COVID19 pandemic/01. correspondence and udpates/00. EMA Internal comms and docs/EMA considerations on Covid-19 vaccines approval</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3.1,CURRENT,corrected</vt:lpwstr>
  </property>
  <property fmtid="{D5CDD505-2E9C-101B-9397-08002B2CF9AE}" pid="21" name="MSIP_Label_2d9d7e6c-11f4-4257-b828-eab96c7cca9c_Enabled">
    <vt:lpwstr>True</vt:lpwstr>
  </property>
  <property fmtid="{D5CDD505-2E9C-101B-9397-08002B2CF9AE}" pid="22" name="MSIP_Label_2d9d7e6c-11f4-4257-b828-eab96c7cca9c_SiteId">
    <vt:lpwstr>bc9dc15c-61bc-4f03-b60b-e5b6d8922839</vt:lpwstr>
  </property>
  <property fmtid="{D5CDD505-2E9C-101B-9397-08002B2CF9AE}" pid="23" name="MSIP_Label_2d9d7e6c-11f4-4257-b828-eab96c7cca9c_Owner">
    <vt:lpwstr>linda.malaguti@ema.europa.eu</vt:lpwstr>
  </property>
  <property fmtid="{D5CDD505-2E9C-101B-9397-08002B2CF9AE}" pid="24" name="MSIP_Label_2d9d7e6c-11f4-4257-b828-eab96c7cca9c_SetDate">
    <vt:lpwstr>2020-11-18T18:14:00.9557718Z</vt:lpwstr>
  </property>
  <property fmtid="{D5CDD505-2E9C-101B-9397-08002B2CF9AE}" pid="25" name="MSIP_Label_2d9d7e6c-11f4-4257-b828-eab96c7cca9c_Name">
    <vt:lpwstr>Confidential</vt:lpwstr>
  </property>
  <property fmtid="{D5CDD505-2E9C-101B-9397-08002B2CF9AE}" pid="26" name="MSIP_Label_2d9d7e6c-11f4-4257-b828-eab96c7cca9c_Application">
    <vt:lpwstr>Microsoft Azure Information Protection</vt:lpwstr>
  </property>
  <property fmtid="{D5CDD505-2E9C-101B-9397-08002B2CF9AE}" pid="27" name="MSIP_Label_2d9d7e6c-11f4-4257-b828-eab96c7cca9c_ActionId">
    <vt:lpwstr>fb0b7fd4-6265-454d-b37c-61e2ca4e7480</vt:lpwstr>
  </property>
  <property fmtid="{D5CDD505-2E9C-101B-9397-08002B2CF9AE}" pid="28" name="MSIP_Label_2d9d7e6c-11f4-4257-b828-eab96c7cca9c_Extended_MSFT_Method">
    <vt:lpwstr>Manual</vt:lpwstr>
  </property>
  <property fmtid="{D5CDD505-2E9C-101B-9397-08002B2CF9AE}" pid="29" name="MSIP_Label_65e7acf2-4eb7-48c7-9bab-32af677aaee2_Enabled">
    <vt:lpwstr>True</vt:lpwstr>
  </property>
  <property fmtid="{D5CDD505-2E9C-101B-9397-08002B2CF9AE}" pid="30" name="MSIP_Label_65e7acf2-4eb7-48c7-9bab-32af677aaee2_SiteId">
    <vt:lpwstr>bc9dc15c-61bc-4f03-b60b-e5b6d8922839</vt:lpwstr>
  </property>
  <property fmtid="{D5CDD505-2E9C-101B-9397-08002B2CF9AE}" pid="31" name="MSIP_Label_65e7acf2-4eb7-48c7-9bab-32af677aaee2_Owner">
    <vt:lpwstr>linda.malaguti@ema.europa.eu</vt:lpwstr>
  </property>
  <property fmtid="{D5CDD505-2E9C-101B-9397-08002B2CF9AE}" pid="32" name="MSIP_Label_65e7acf2-4eb7-48c7-9bab-32af677aaee2_SetDate">
    <vt:lpwstr>2020-11-18T18:14:00.9557718Z</vt:lpwstr>
  </property>
  <property fmtid="{D5CDD505-2E9C-101B-9397-08002B2CF9AE}" pid="33" name="MSIP_Label_65e7acf2-4eb7-48c7-9bab-32af677aaee2_Name">
    <vt:lpwstr>EU Network</vt:lpwstr>
  </property>
  <property fmtid="{D5CDD505-2E9C-101B-9397-08002B2CF9AE}" pid="34" name="MSIP_Label_65e7acf2-4eb7-48c7-9bab-32af677aaee2_Application">
    <vt:lpwstr>Microsoft Azure Information Protection</vt:lpwstr>
  </property>
  <property fmtid="{D5CDD505-2E9C-101B-9397-08002B2CF9AE}" pid="35" name="MSIP_Label_65e7acf2-4eb7-48c7-9bab-32af677aaee2_ActionId">
    <vt:lpwstr>fb0b7fd4-6265-454d-b37c-61e2ca4e7480</vt:lpwstr>
  </property>
  <property fmtid="{D5CDD505-2E9C-101B-9397-08002B2CF9AE}" pid="36" name="MSIP_Label_65e7acf2-4eb7-48c7-9bab-32af677aaee2_Parent">
    <vt:lpwstr>2d9d7e6c-11f4-4257-b828-eab96c7cca9c</vt:lpwstr>
  </property>
  <property fmtid="{D5CDD505-2E9C-101B-9397-08002B2CF9AE}" pid="37" name="MSIP_Label_65e7acf2-4eb7-48c7-9bab-32af677aaee2_Extended_MSFT_Method">
    <vt:lpwstr>Manual</vt:lpwstr>
  </property>
  <property fmtid="{D5CDD505-2E9C-101B-9397-08002B2CF9AE}" pid="38" name="Classification">
    <vt:lpwstr>Confidential EU Network</vt:lpwstr>
  </property>
</Properties>
</file>