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C6937" w14:textId="064CB08A" w:rsidR="009172EB" w:rsidRPr="00FC696A" w:rsidRDefault="002F38CE" w:rsidP="00842A9D">
      <w:pPr>
        <w:jc w:val="center"/>
        <w:rPr>
          <w:rFonts w:asciiTheme="majorHAnsi" w:hAnsiTheme="majorHAnsi" w:cstheme="majorHAnsi"/>
          <w:b/>
          <w:sz w:val="24"/>
          <w:szCs w:val="24"/>
          <w:lang w:val="pt-PT"/>
        </w:rPr>
      </w:pPr>
      <w:r w:rsidRPr="00FC696A">
        <w:rPr>
          <w:rFonts w:asciiTheme="majorHAnsi" w:hAnsiTheme="majorHAnsi" w:cstheme="majorHAnsi"/>
          <w:b/>
          <w:lang w:val="pt-PT"/>
        </w:rPr>
        <w:t>Formulário para</w:t>
      </w:r>
      <w:r w:rsidR="00452FD2" w:rsidRPr="00FC696A">
        <w:rPr>
          <w:rFonts w:asciiTheme="majorHAnsi" w:hAnsiTheme="majorHAnsi" w:cstheme="majorHAnsi"/>
          <w:b/>
          <w:lang w:val="pt-PT"/>
        </w:rPr>
        <w:t xml:space="preserve"> pedido de </w:t>
      </w:r>
      <w:r w:rsidR="00DE6A96" w:rsidRPr="00FC696A">
        <w:rPr>
          <w:rFonts w:asciiTheme="majorHAnsi" w:hAnsiTheme="majorHAnsi" w:cstheme="majorHAnsi"/>
          <w:b/>
          <w:lang w:val="pt-PT"/>
        </w:rPr>
        <w:t xml:space="preserve">definição de proposta inicial de avaliação (PICO) </w:t>
      </w:r>
      <w:r w:rsidR="00D51B5A">
        <w:rPr>
          <w:rFonts w:asciiTheme="majorHAnsi" w:hAnsiTheme="majorHAnsi" w:cstheme="majorHAnsi"/>
          <w:b/>
          <w:lang w:val="pt-PT"/>
        </w:rPr>
        <w:t>após parecer positivo</w:t>
      </w:r>
      <w:r w:rsidR="00452FD2" w:rsidRPr="00FC696A">
        <w:rPr>
          <w:rFonts w:asciiTheme="majorHAnsi" w:hAnsiTheme="majorHAnsi" w:cstheme="majorHAnsi"/>
          <w:b/>
          <w:lang w:val="pt-PT"/>
        </w:rPr>
        <w:t xml:space="preserve"> CHMP</w:t>
      </w:r>
      <w:r w:rsidR="00DE6A96" w:rsidRPr="00FC696A">
        <w:rPr>
          <w:rFonts w:asciiTheme="majorHAnsi" w:hAnsiTheme="majorHAnsi" w:cstheme="majorHAnsi"/>
          <w:b/>
          <w:lang w:val="pt-PT"/>
        </w:rPr>
        <w:t xml:space="preserve"> </w:t>
      </w:r>
      <w:r w:rsidR="00452FD2" w:rsidRPr="00FC696A">
        <w:rPr>
          <w:rFonts w:asciiTheme="majorHAnsi" w:hAnsiTheme="majorHAnsi" w:cstheme="majorHAnsi"/>
          <w:b/>
          <w:lang w:val="pt-PT"/>
        </w:rPr>
        <w:t>(</w:t>
      </w:r>
      <w:r w:rsidR="00E73D3D">
        <w:rPr>
          <w:rFonts w:asciiTheme="majorHAnsi" w:hAnsiTheme="majorHAnsi" w:cstheme="majorHAnsi"/>
          <w:b/>
          <w:lang w:val="pt-PT"/>
        </w:rPr>
        <w:t>pré-</w:t>
      </w:r>
      <w:r w:rsidR="00452FD2" w:rsidRPr="00FC696A">
        <w:rPr>
          <w:rFonts w:asciiTheme="majorHAnsi" w:hAnsiTheme="majorHAnsi" w:cstheme="majorHAnsi"/>
          <w:b/>
          <w:lang w:val="pt-PT"/>
        </w:rPr>
        <w:t>AIM)</w:t>
      </w:r>
    </w:p>
    <w:p w14:paraId="64BD284A" w14:textId="77777777" w:rsidR="00452FD2" w:rsidRPr="00FC696A" w:rsidRDefault="00FC696A">
      <w:pPr>
        <w:rPr>
          <w:rFonts w:asciiTheme="majorHAnsi" w:hAnsiTheme="majorHAnsi" w:cstheme="majorHAnsi"/>
          <w:lang w:val="pt-PT"/>
        </w:rPr>
      </w:pPr>
      <w:r w:rsidRPr="00FC696A">
        <w:rPr>
          <w:rFonts w:asciiTheme="majorHAnsi" w:hAnsiTheme="majorHAnsi" w:cstheme="majorHAnsi"/>
          <w:lang w:val="pt-PT"/>
        </w:rPr>
        <w:t xml:space="preserve">Indique por favor </w:t>
      </w:r>
      <w:r w:rsidR="00382F26" w:rsidRPr="00FC696A">
        <w:rPr>
          <w:rFonts w:asciiTheme="majorHAnsi" w:hAnsiTheme="majorHAnsi" w:cstheme="majorHAnsi"/>
          <w:lang w:val="pt-PT"/>
        </w:rPr>
        <w:t xml:space="preserve">o tipo de processo: </w:t>
      </w:r>
    </w:p>
    <w:tbl>
      <w:tblPr>
        <w:tblStyle w:val="SimplesTabela2"/>
        <w:tblW w:w="4253" w:type="dxa"/>
        <w:tblLook w:val="04A0" w:firstRow="1" w:lastRow="0" w:firstColumn="1" w:lastColumn="0" w:noHBand="0" w:noVBand="1"/>
      </w:tblPr>
      <w:tblGrid>
        <w:gridCol w:w="3681"/>
        <w:gridCol w:w="572"/>
      </w:tblGrid>
      <w:tr w:rsidR="00382F26" w:rsidRPr="00FC696A" w14:paraId="16CBA426" w14:textId="77777777" w:rsidTr="00FC69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47BF7965" w14:textId="77777777" w:rsidR="00382F26" w:rsidRPr="00FC696A" w:rsidRDefault="00382F26" w:rsidP="0056308E">
            <w:pPr>
              <w:rPr>
                <w:rFonts w:asciiTheme="majorHAnsi" w:hAnsiTheme="majorHAnsi" w:cstheme="majorHAnsi"/>
                <w:lang w:val="pt-PT"/>
              </w:rPr>
            </w:pPr>
            <w:r w:rsidRPr="00FC696A">
              <w:rPr>
                <w:rFonts w:asciiTheme="majorHAnsi" w:hAnsiTheme="majorHAnsi" w:cstheme="majorHAnsi"/>
                <w:lang w:val="pt-PT"/>
              </w:rPr>
              <w:t xml:space="preserve">Avaliação Prévia Hospitalar </w:t>
            </w:r>
          </w:p>
        </w:tc>
        <w:sdt>
          <w:sdtPr>
            <w:rPr>
              <w:rFonts w:asciiTheme="majorHAnsi" w:hAnsiTheme="majorHAnsi" w:cstheme="majorHAnsi"/>
              <w:lang w:val="pt-PT"/>
            </w:rPr>
            <w:id w:val="-14686553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2" w:type="dxa"/>
              </w:tcPr>
              <w:p w14:paraId="17A101B8" w14:textId="48975484" w:rsidR="00382F26" w:rsidRPr="00FC696A" w:rsidRDefault="00E103D6" w:rsidP="0056308E">
                <w:pPr>
                  <w:ind w:left="-675" w:firstLine="675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ajorHAnsi" w:hAnsiTheme="majorHAnsi" w:cstheme="majorHAnsi"/>
                    <w:lang w:val="pt-PT"/>
                  </w:rPr>
                </w:pPr>
                <w:r>
                  <w:rPr>
                    <w:rFonts w:ascii="MS Gothic" w:eastAsia="MS Gothic" w:hAnsi="MS Gothic" w:cstheme="majorHAnsi" w:hint="eastAsia"/>
                    <w:lang w:val="pt-PT"/>
                  </w:rPr>
                  <w:t>☐</w:t>
                </w:r>
              </w:p>
            </w:tc>
          </w:sdtContent>
        </w:sdt>
      </w:tr>
      <w:tr w:rsidR="00382F26" w:rsidRPr="00FC696A" w14:paraId="789CEE6E" w14:textId="77777777" w:rsidTr="00FC69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1D64F10A" w14:textId="77777777" w:rsidR="00382F26" w:rsidRPr="00FC696A" w:rsidRDefault="00382F26" w:rsidP="0056308E">
            <w:pPr>
              <w:rPr>
                <w:rFonts w:asciiTheme="majorHAnsi" w:hAnsiTheme="majorHAnsi" w:cstheme="majorHAnsi"/>
                <w:lang w:val="pt-PT"/>
              </w:rPr>
            </w:pPr>
            <w:r w:rsidRPr="00FC696A">
              <w:rPr>
                <w:rFonts w:asciiTheme="majorHAnsi" w:hAnsiTheme="majorHAnsi" w:cstheme="majorHAnsi"/>
                <w:lang w:val="pt-PT"/>
              </w:rPr>
              <w:t>Comparticipação</w:t>
            </w:r>
          </w:p>
        </w:tc>
        <w:sdt>
          <w:sdtPr>
            <w:rPr>
              <w:rFonts w:asciiTheme="majorHAnsi" w:hAnsiTheme="majorHAnsi" w:cstheme="majorHAnsi"/>
              <w:b/>
              <w:lang w:val="pt-PT"/>
            </w:rPr>
            <w:id w:val="-3990656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2" w:type="dxa"/>
              </w:tcPr>
              <w:p w14:paraId="447FDF0E" w14:textId="51DEA591" w:rsidR="00382F26" w:rsidRPr="00FC696A" w:rsidRDefault="00E103D6" w:rsidP="0056308E">
                <w:pPr>
                  <w:ind w:left="-675" w:firstLine="675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ajorHAnsi" w:hAnsiTheme="majorHAnsi" w:cstheme="majorHAnsi"/>
                    <w:b/>
                    <w:lang w:val="pt-PT"/>
                  </w:rPr>
                </w:pPr>
                <w:r>
                  <w:rPr>
                    <w:rFonts w:ascii="MS Gothic" w:eastAsia="MS Gothic" w:hAnsi="MS Gothic" w:cstheme="majorHAnsi" w:hint="eastAsia"/>
                    <w:b/>
                    <w:lang w:val="pt-PT"/>
                  </w:rPr>
                  <w:t>☐</w:t>
                </w:r>
              </w:p>
            </w:tc>
          </w:sdtContent>
        </w:sdt>
      </w:tr>
    </w:tbl>
    <w:p w14:paraId="3773E3B4" w14:textId="14A12879" w:rsidR="00452FD2" w:rsidRPr="00FC696A" w:rsidRDefault="00452FD2">
      <w:pPr>
        <w:rPr>
          <w:rFonts w:asciiTheme="majorHAnsi" w:hAnsiTheme="majorHAnsi" w:cstheme="majorHAnsi"/>
          <w:sz w:val="16"/>
          <w:szCs w:val="16"/>
          <w:lang w:val="pt-PT"/>
        </w:rPr>
      </w:pPr>
    </w:p>
    <w:p w14:paraId="73F34009" w14:textId="05C1570B" w:rsidR="00382F26" w:rsidRPr="00FC696A" w:rsidRDefault="00382F26">
      <w:pPr>
        <w:rPr>
          <w:rFonts w:asciiTheme="majorHAnsi" w:hAnsiTheme="majorHAnsi" w:cstheme="majorHAnsi"/>
          <w:lang w:val="pt-PT"/>
        </w:rPr>
      </w:pPr>
      <w:r w:rsidRPr="00FC696A">
        <w:rPr>
          <w:rFonts w:asciiTheme="majorHAnsi" w:hAnsiTheme="majorHAnsi" w:cstheme="majorHAnsi"/>
          <w:lang w:val="pt-PT"/>
        </w:rPr>
        <w:t>Indique por favor o tipo de medicamento:</w:t>
      </w:r>
    </w:p>
    <w:tbl>
      <w:tblPr>
        <w:tblStyle w:val="SimplesTabela2"/>
        <w:tblW w:w="4253" w:type="dxa"/>
        <w:tblLook w:val="04A0" w:firstRow="1" w:lastRow="0" w:firstColumn="1" w:lastColumn="0" w:noHBand="0" w:noVBand="1"/>
      </w:tblPr>
      <w:tblGrid>
        <w:gridCol w:w="3686"/>
        <w:gridCol w:w="567"/>
      </w:tblGrid>
      <w:tr w:rsidR="00382F26" w:rsidRPr="00FC696A" w14:paraId="5E07EAEB" w14:textId="77777777" w:rsidTr="00FC69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14:paraId="55EC9CB1" w14:textId="77777777" w:rsidR="00382F26" w:rsidRPr="00FC696A" w:rsidRDefault="00382F26" w:rsidP="009172EB">
            <w:pPr>
              <w:rPr>
                <w:rFonts w:asciiTheme="majorHAnsi" w:hAnsiTheme="majorHAnsi" w:cstheme="majorHAnsi"/>
                <w:lang w:val="pt-PT"/>
              </w:rPr>
            </w:pPr>
            <w:r w:rsidRPr="00FC696A">
              <w:rPr>
                <w:rFonts w:asciiTheme="majorHAnsi" w:hAnsiTheme="majorHAnsi" w:cstheme="majorHAnsi"/>
                <w:lang w:val="pt-PT"/>
              </w:rPr>
              <w:t>Nova DCI</w:t>
            </w:r>
          </w:p>
        </w:tc>
        <w:sdt>
          <w:sdtPr>
            <w:rPr>
              <w:rFonts w:asciiTheme="majorHAnsi" w:hAnsiTheme="majorHAnsi" w:cstheme="majorHAnsi"/>
              <w:lang w:val="pt-PT"/>
            </w:rPr>
            <w:id w:val="-5664104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71442337" w14:textId="6A678AB3" w:rsidR="00382F26" w:rsidRPr="00FC696A" w:rsidRDefault="00E103D6" w:rsidP="009172EB">
                <w:pPr>
                  <w:ind w:left="-958" w:firstLine="958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ajorHAnsi" w:hAnsiTheme="majorHAnsi" w:cstheme="majorHAnsi"/>
                    <w:lang w:val="pt-PT"/>
                  </w:rPr>
                </w:pPr>
                <w:r>
                  <w:rPr>
                    <w:rFonts w:ascii="MS Gothic" w:eastAsia="MS Gothic" w:hAnsi="MS Gothic" w:cstheme="majorHAnsi" w:hint="eastAsia"/>
                    <w:lang w:val="pt-PT"/>
                  </w:rPr>
                  <w:t>☐</w:t>
                </w:r>
              </w:p>
            </w:tc>
          </w:sdtContent>
        </w:sdt>
      </w:tr>
      <w:tr w:rsidR="00382F26" w:rsidRPr="00FC696A" w14:paraId="4654A5AC" w14:textId="77777777" w:rsidTr="00FC69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14:paraId="70CC0F9C" w14:textId="77777777" w:rsidR="00382F26" w:rsidRPr="00FC696A" w:rsidRDefault="00382F26" w:rsidP="009172EB">
            <w:pPr>
              <w:rPr>
                <w:rFonts w:asciiTheme="majorHAnsi" w:hAnsiTheme="majorHAnsi" w:cstheme="majorHAnsi"/>
                <w:lang w:val="pt-PT"/>
              </w:rPr>
            </w:pPr>
            <w:r w:rsidRPr="00FC696A">
              <w:rPr>
                <w:rFonts w:asciiTheme="majorHAnsi" w:hAnsiTheme="majorHAnsi" w:cstheme="majorHAnsi"/>
                <w:lang w:val="pt-PT"/>
              </w:rPr>
              <w:t>Nova indicação terapêutica</w:t>
            </w:r>
          </w:p>
        </w:tc>
        <w:sdt>
          <w:sdtPr>
            <w:rPr>
              <w:rFonts w:asciiTheme="majorHAnsi" w:hAnsiTheme="majorHAnsi" w:cstheme="majorHAnsi"/>
              <w:b/>
              <w:lang w:val="pt-PT"/>
            </w:rPr>
            <w:id w:val="1833366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5F7FD67F" w14:textId="70B0230E" w:rsidR="00382F26" w:rsidRPr="00FC696A" w:rsidRDefault="00E103D6" w:rsidP="009172EB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ajorHAnsi" w:hAnsiTheme="majorHAnsi" w:cstheme="majorHAnsi"/>
                    <w:b/>
                    <w:lang w:val="pt-PT"/>
                  </w:rPr>
                </w:pPr>
                <w:r>
                  <w:rPr>
                    <w:rFonts w:ascii="MS Gothic" w:eastAsia="MS Gothic" w:hAnsi="MS Gothic" w:cstheme="majorHAnsi" w:hint="eastAsia"/>
                    <w:b/>
                    <w:lang w:val="pt-PT"/>
                  </w:rPr>
                  <w:t>☐</w:t>
                </w:r>
              </w:p>
            </w:tc>
          </w:sdtContent>
        </w:sdt>
      </w:tr>
    </w:tbl>
    <w:p w14:paraId="386481AA" w14:textId="45094AAD" w:rsidR="00382F26" w:rsidRDefault="00382F26">
      <w:pPr>
        <w:rPr>
          <w:rFonts w:asciiTheme="majorHAnsi" w:hAnsiTheme="majorHAnsi" w:cstheme="majorHAnsi"/>
          <w:sz w:val="16"/>
          <w:szCs w:val="16"/>
          <w:lang w:val="pt-PT"/>
        </w:rPr>
      </w:pPr>
    </w:p>
    <w:p w14:paraId="02CF29DB" w14:textId="70C228DA" w:rsidR="00382F26" w:rsidRPr="00FC696A" w:rsidRDefault="00382F26">
      <w:pPr>
        <w:rPr>
          <w:rFonts w:asciiTheme="majorHAnsi" w:hAnsiTheme="majorHAnsi" w:cstheme="majorHAnsi"/>
          <w:lang w:val="pt-PT"/>
        </w:rPr>
      </w:pPr>
      <w:r w:rsidRPr="00FC696A">
        <w:rPr>
          <w:rFonts w:asciiTheme="majorHAnsi" w:hAnsiTheme="majorHAnsi" w:cstheme="majorHAnsi"/>
          <w:lang w:val="pt-PT"/>
        </w:rPr>
        <w:t xml:space="preserve">Preencha por favor a seguinte tabela. </w:t>
      </w:r>
    </w:p>
    <w:tbl>
      <w:tblPr>
        <w:tblStyle w:val="SimplesTabela2"/>
        <w:tblW w:w="8584" w:type="dxa"/>
        <w:tblLook w:val="04A0" w:firstRow="1" w:lastRow="0" w:firstColumn="1" w:lastColumn="0" w:noHBand="0" w:noVBand="1"/>
      </w:tblPr>
      <w:tblGrid>
        <w:gridCol w:w="3720"/>
        <w:gridCol w:w="4864"/>
      </w:tblGrid>
      <w:tr w:rsidR="00452FD2" w:rsidRPr="00FC696A" w14:paraId="53779B57" w14:textId="77777777" w:rsidTr="00DB33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tcBorders>
              <w:right w:val="single" w:sz="4" w:space="0" w:color="D0CECE" w:themeColor="background2" w:themeShade="E6"/>
            </w:tcBorders>
            <w:vAlign w:val="center"/>
          </w:tcPr>
          <w:p w14:paraId="60857AE4" w14:textId="77777777" w:rsidR="00452FD2" w:rsidRPr="00FC696A" w:rsidRDefault="00452FD2" w:rsidP="00A554BC">
            <w:pPr>
              <w:jc w:val="both"/>
              <w:rPr>
                <w:rFonts w:asciiTheme="majorHAnsi" w:hAnsiTheme="majorHAnsi" w:cstheme="majorHAnsi"/>
                <w:lang w:val="pt-PT"/>
              </w:rPr>
            </w:pPr>
            <w:r w:rsidRPr="00FC696A">
              <w:rPr>
                <w:rFonts w:asciiTheme="majorHAnsi" w:hAnsiTheme="majorHAnsi" w:cstheme="majorHAnsi"/>
                <w:lang w:val="pt-PT"/>
              </w:rPr>
              <w:t>Nome do Medicamento</w:t>
            </w:r>
          </w:p>
        </w:tc>
        <w:tc>
          <w:tcPr>
            <w:tcW w:w="4864" w:type="dxa"/>
            <w:tcBorders>
              <w:top w:val="single" w:sz="4" w:space="0" w:color="7F7F7F" w:themeColor="text1" w:themeTint="80"/>
              <w:left w:val="single" w:sz="4" w:space="0" w:color="D0CECE" w:themeColor="background2" w:themeShade="E6"/>
            </w:tcBorders>
            <w:vAlign w:val="center"/>
          </w:tcPr>
          <w:p w14:paraId="7BC86FD8" w14:textId="77777777" w:rsidR="00452FD2" w:rsidRPr="00FC696A" w:rsidRDefault="00452FD2" w:rsidP="00A554BC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pt-PT"/>
              </w:rPr>
            </w:pPr>
          </w:p>
        </w:tc>
      </w:tr>
      <w:tr w:rsidR="00452FD2" w:rsidRPr="00FC696A" w14:paraId="1287216E" w14:textId="77777777" w:rsidTr="00DB33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tcBorders>
              <w:right w:val="single" w:sz="4" w:space="0" w:color="D0CECE" w:themeColor="background2" w:themeShade="E6"/>
            </w:tcBorders>
            <w:vAlign w:val="center"/>
          </w:tcPr>
          <w:p w14:paraId="2E8F4BC6" w14:textId="77777777" w:rsidR="00452FD2" w:rsidRPr="00FC696A" w:rsidRDefault="00452FD2" w:rsidP="00A554BC">
            <w:pPr>
              <w:jc w:val="both"/>
              <w:rPr>
                <w:rFonts w:asciiTheme="majorHAnsi" w:hAnsiTheme="majorHAnsi" w:cstheme="majorHAnsi"/>
              </w:rPr>
            </w:pPr>
            <w:r w:rsidRPr="00FC696A">
              <w:rPr>
                <w:rFonts w:asciiTheme="majorHAnsi" w:hAnsiTheme="majorHAnsi" w:cstheme="majorHAnsi"/>
              </w:rPr>
              <w:t>DCI</w:t>
            </w:r>
          </w:p>
        </w:tc>
        <w:tc>
          <w:tcPr>
            <w:tcW w:w="4864" w:type="dxa"/>
            <w:tcBorders>
              <w:left w:val="single" w:sz="4" w:space="0" w:color="D0CECE" w:themeColor="background2" w:themeShade="E6"/>
            </w:tcBorders>
            <w:vAlign w:val="center"/>
          </w:tcPr>
          <w:p w14:paraId="4A5AA560" w14:textId="77777777" w:rsidR="00452FD2" w:rsidRPr="00FC696A" w:rsidRDefault="00452FD2" w:rsidP="00A554B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pt-PT"/>
              </w:rPr>
            </w:pPr>
          </w:p>
        </w:tc>
      </w:tr>
      <w:tr w:rsidR="002F38CE" w:rsidRPr="00FC696A" w14:paraId="7379B6EB" w14:textId="77777777" w:rsidTr="00DB3349">
        <w:trPr>
          <w:trHeight w:val="5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tcBorders>
              <w:right w:val="single" w:sz="4" w:space="0" w:color="D0CECE" w:themeColor="background2" w:themeShade="E6"/>
            </w:tcBorders>
            <w:vAlign w:val="center"/>
          </w:tcPr>
          <w:p w14:paraId="651A2C5C" w14:textId="77777777" w:rsidR="002F38CE" w:rsidRPr="00FC696A" w:rsidRDefault="002F38CE" w:rsidP="00A554BC">
            <w:pPr>
              <w:jc w:val="both"/>
              <w:rPr>
                <w:rFonts w:asciiTheme="majorHAnsi" w:hAnsiTheme="majorHAnsi" w:cstheme="majorHAnsi"/>
              </w:rPr>
            </w:pPr>
            <w:r w:rsidRPr="00FC696A">
              <w:rPr>
                <w:rFonts w:asciiTheme="majorHAnsi" w:hAnsiTheme="majorHAnsi" w:cstheme="majorHAnsi"/>
              </w:rPr>
              <w:t>Requerente da AIM</w:t>
            </w:r>
          </w:p>
        </w:tc>
        <w:tc>
          <w:tcPr>
            <w:tcW w:w="4864" w:type="dxa"/>
            <w:tcBorders>
              <w:top w:val="single" w:sz="4" w:space="0" w:color="7F7F7F" w:themeColor="text1" w:themeTint="80"/>
              <w:left w:val="single" w:sz="4" w:space="0" w:color="D0CECE" w:themeColor="background2" w:themeShade="E6"/>
              <w:bottom w:val="single" w:sz="4" w:space="0" w:color="7F7F7F" w:themeColor="text1" w:themeTint="80"/>
            </w:tcBorders>
            <w:vAlign w:val="center"/>
          </w:tcPr>
          <w:p w14:paraId="3824B67D" w14:textId="77777777" w:rsidR="002F38CE" w:rsidRPr="00FC696A" w:rsidRDefault="002F38CE" w:rsidP="00A554B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pt-PT"/>
              </w:rPr>
            </w:pPr>
          </w:p>
        </w:tc>
      </w:tr>
      <w:tr w:rsidR="00452FD2" w:rsidRPr="00FC696A" w14:paraId="0AF5F5A9" w14:textId="77777777" w:rsidTr="00DB33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tcBorders>
              <w:right w:val="single" w:sz="4" w:space="0" w:color="D0CECE" w:themeColor="background2" w:themeShade="E6"/>
            </w:tcBorders>
            <w:vAlign w:val="center"/>
          </w:tcPr>
          <w:p w14:paraId="1F6B4996" w14:textId="77777777" w:rsidR="00452FD2" w:rsidRPr="00FC696A" w:rsidRDefault="00452FD2" w:rsidP="00A554BC">
            <w:pPr>
              <w:jc w:val="both"/>
              <w:rPr>
                <w:rFonts w:asciiTheme="majorHAnsi" w:hAnsiTheme="majorHAnsi" w:cstheme="majorHAnsi"/>
              </w:rPr>
            </w:pPr>
            <w:r w:rsidRPr="00FC696A">
              <w:rPr>
                <w:rFonts w:asciiTheme="majorHAnsi" w:hAnsiTheme="majorHAnsi" w:cstheme="majorHAnsi"/>
              </w:rPr>
              <w:t>Dosagem</w:t>
            </w:r>
          </w:p>
        </w:tc>
        <w:tc>
          <w:tcPr>
            <w:tcW w:w="4864" w:type="dxa"/>
            <w:tcBorders>
              <w:left w:val="single" w:sz="4" w:space="0" w:color="D0CECE" w:themeColor="background2" w:themeShade="E6"/>
            </w:tcBorders>
            <w:vAlign w:val="center"/>
          </w:tcPr>
          <w:p w14:paraId="71F2CED7" w14:textId="77777777" w:rsidR="00452FD2" w:rsidRPr="00FC696A" w:rsidRDefault="00452FD2" w:rsidP="00A554B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pt-PT"/>
              </w:rPr>
            </w:pPr>
          </w:p>
        </w:tc>
      </w:tr>
      <w:tr w:rsidR="00452FD2" w:rsidRPr="00FC696A" w14:paraId="66BFFC36" w14:textId="77777777" w:rsidTr="00DB3349">
        <w:trPr>
          <w:trHeight w:val="5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tcBorders>
              <w:right w:val="single" w:sz="4" w:space="0" w:color="D0CECE" w:themeColor="background2" w:themeShade="E6"/>
            </w:tcBorders>
            <w:vAlign w:val="center"/>
          </w:tcPr>
          <w:p w14:paraId="18DE0912" w14:textId="77777777" w:rsidR="00452FD2" w:rsidRPr="00FC696A" w:rsidRDefault="00452FD2" w:rsidP="00A554BC">
            <w:pPr>
              <w:jc w:val="both"/>
              <w:rPr>
                <w:rFonts w:asciiTheme="majorHAnsi" w:hAnsiTheme="majorHAnsi" w:cstheme="majorHAnsi"/>
              </w:rPr>
            </w:pPr>
            <w:r w:rsidRPr="00FC696A">
              <w:rPr>
                <w:rFonts w:asciiTheme="majorHAnsi" w:hAnsiTheme="majorHAnsi" w:cstheme="majorHAnsi"/>
              </w:rPr>
              <w:t>Forma Farmacêutica</w:t>
            </w:r>
          </w:p>
        </w:tc>
        <w:tc>
          <w:tcPr>
            <w:tcW w:w="4864" w:type="dxa"/>
            <w:tcBorders>
              <w:top w:val="single" w:sz="4" w:space="0" w:color="7F7F7F" w:themeColor="text1" w:themeTint="80"/>
              <w:left w:val="single" w:sz="4" w:space="0" w:color="D0CECE" w:themeColor="background2" w:themeShade="E6"/>
              <w:bottom w:val="single" w:sz="4" w:space="0" w:color="7F7F7F" w:themeColor="text1" w:themeTint="80"/>
            </w:tcBorders>
            <w:vAlign w:val="center"/>
          </w:tcPr>
          <w:p w14:paraId="190EC59E" w14:textId="77777777" w:rsidR="00452FD2" w:rsidRPr="00FC696A" w:rsidRDefault="00452FD2" w:rsidP="00A554B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pt-PT"/>
              </w:rPr>
            </w:pPr>
          </w:p>
        </w:tc>
      </w:tr>
      <w:tr w:rsidR="00452FD2" w:rsidRPr="00FC696A" w14:paraId="6FA73107" w14:textId="77777777" w:rsidTr="00DB33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tcBorders>
              <w:right w:val="single" w:sz="4" w:space="0" w:color="D0CECE" w:themeColor="background2" w:themeShade="E6"/>
            </w:tcBorders>
            <w:vAlign w:val="center"/>
          </w:tcPr>
          <w:p w14:paraId="6E3B9E33" w14:textId="77777777" w:rsidR="00452FD2" w:rsidRPr="00FC696A" w:rsidRDefault="00452FD2" w:rsidP="00A554BC">
            <w:pPr>
              <w:jc w:val="both"/>
              <w:rPr>
                <w:rFonts w:asciiTheme="majorHAnsi" w:hAnsiTheme="majorHAnsi" w:cstheme="majorHAnsi"/>
              </w:rPr>
            </w:pPr>
            <w:r w:rsidRPr="00FC696A">
              <w:rPr>
                <w:rFonts w:asciiTheme="majorHAnsi" w:hAnsiTheme="majorHAnsi" w:cstheme="majorHAnsi"/>
              </w:rPr>
              <w:t>ATC</w:t>
            </w:r>
          </w:p>
        </w:tc>
        <w:tc>
          <w:tcPr>
            <w:tcW w:w="4864" w:type="dxa"/>
            <w:tcBorders>
              <w:left w:val="single" w:sz="4" w:space="0" w:color="D0CECE" w:themeColor="background2" w:themeShade="E6"/>
            </w:tcBorders>
            <w:vAlign w:val="center"/>
          </w:tcPr>
          <w:p w14:paraId="0030EAAA" w14:textId="77777777" w:rsidR="00452FD2" w:rsidRPr="00FC696A" w:rsidRDefault="00452FD2" w:rsidP="00A554B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pt-PT"/>
              </w:rPr>
            </w:pPr>
          </w:p>
        </w:tc>
      </w:tr>
      <w:tr w:rsidR="00452FD2" w:rsidRPr="005A67E0" w14:paraId="311B73E2" w14:textId="77777777" w:rsidTr="00DB3349">
        <w:trPr>
          <w:trHeight w:val="10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tcBorders>
              <w:right w:val="single" w:sz="4" w:space="0" w:color="D0CECE" w:themeColor="background2" w:themeShade="E6"/>
            </w:tcBorders>
            <w:vAlign w:val="center"/>
          </w:tcPr>
          <w:p w14:paraId="7C10DF5D" w14:textId="77777777" w:rsidR="00452FD2" w:rsidRPr="00FC696A" w:rsidRDefault="00452FD2" w:rsidP="00A554BC">
            <w:pPr>
              <w:jc w:val="both"/>
              <w:rPr>
                <w:rFonts w:asciiTheme="majorHAnsi" w:hAnsiTheme="majorHAnsi" w:cstheme="majorHAnsi"/>
                <w:lang w:val="pt-PT"/>
              </w:rPr>
            </w:pPr>
            <w:r w:rsidRPr="00FC696A">
              <w:rPr>
                <w:rFonts w:asciiTheme="majorHAnsi" w:hAnsiTheme="majorHAnsi" w:cstheme="majorHAnsi"/>
                <w:lang w:val="pt-PT"/>
              </w:rPr>
              <w:t>Indicações terapêuticas que deverão constar do RCM</w:t>
            </w:r>
          </w:p>
        </w:tc>
        <w:tc>
          <w:tcPr>
            <w:tcW w:w="4864" w:type="dxa"/>
            <w:tcBorders>
              <w:top w:val="single" w:sz="4" w:space="0" w:color="7F7F7F" w:themeColor="text1" w:themeTint="80"/>
              <w:left w:val="single" w:sz="4" w:space="0" w:color="D0CECE" w:themeColor="background2" w:themeShade="E6"/>
              <w:bottom w:val="single" w:sz="4" w:space="0" w:color="7F7F7F" w:themeColor="text1" w:themeTint="80"/>
            </w:tcBorders>
            <w:vAlign w:val="center"/>
          </w:tcPr>
          <w:p w14:paraId="2E55EABF" w14:textId="77777777" w:rsidR="00452FD2" w:rsidRPr="00FC696A" w:rsidRDefault="00FC696A" w:rsidP="00A554B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lang w:val="pt-PT"/>
              </w:rPr>
            </w:pPr>
            <w:r w:rsidRPr="00FC696A">
              <w:rPr>
                <w:rFonts w:asciiTheme="majorHAnsi" w:hAnsiTheme="majorHAnsi" w:cstheme="majorHAnsi"/>
                <w:i/>
                <w:color w:val="767171" w:themeColor="background2" w:themeShade="80"/>
                <w:lang w:val="pt-PT"/>
              </w:rPr>
              <w:t>As indicações terapêuticas que deverão constar no RCM são as aprovadas de acordo com a avaliação do CHMP (Comité para Medicamentos de Uso Humano da Agência Europeia do Medicamento).</w:t>
            </w:r>
          </w:p>
        </w:tc>
      </w:tr>
      <w:tr w:rsidR="00452FD2" w:rsidRPr="005A67E0" w14:paraId="49933FDD" w14:textId="77777777" w:rsidTr="00DB33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tcBorders>
              <w:right w:val="single" w:sz="4" w:space="0" w:color="D0CECE" w:themeColor="background2" w:themeShade="E6"/>
            </w:tcBorders>
            <w:vAlign w:val="center"/>
          </w:tcPr>
          <w:p w14:paraId="05397E6C" w14:textId="1C739221" w:rsidR="00452FD2" w:rsidRPr="00FC696A" w:rsidRDefault="00452FD2" w:rsidP="00A554BC">
            <w:pPr>
              <w:jc w:val="both"/>
              <w:rPr>
                <w:rFonts w:asciiTheme="majorHAnsi" w:hAnsiTheme="majorHAnsi" w:cstheme="majorHAnsi"/>
                <w:lang w:val="pt-PT"/>
              </w:rPr>
            </w:pPr>
            <w:r w:rsidRPr="00FC696A">
              <w:rPr>
                <w:rFonts w:asciiTheme="majorHAnsi" w:hAnsiTheme="majorHAnsi" w:cstheme="majorHAnsi"/>
                <w:lang w:val="pt-PT"/>
              </w:rPr>
              <w:t xml:space="preserve">Indicações terapêuticas para as quais </w:t>
            </w:r>
            <w:r w:rsidR="00E75045" w:rsidRPr="00FC696A">
              <w:rPr>
                <w:rFonts w:asciiTheme="majorHAnsi" w:hAnsiTheme="majorHAnsi" w:cstheme="majorHAnsi"/>
                <w:lang w:val="pt-PT"/>
              </w:rPr>
              <w:t>é</w:t>
            </w:r>
            <w:r w:rsidRPr="00FC696A">
              <w:rPr>
                <w:rFonts w:asciiTheme="majorHAnsi" w:hAnsiTheme="majorHAnsi" w:cstheme="majorHAnsi"/>
                <w:lang w:val="pt-PT"/>
              </w:rPr>
              <w:t xml:space="preserve"> solicitada definição de Proposta Inicial de Avaliação (PICO)</w:t>
            </w:r>
            <w:r w:rsidR="00FB730F">
              <w:rPr>
                <w:rFonts w:asciiTheme="majorHAnsi" w:hAnsiTheme="majorHAnsi" w:cstheme="majorHAnsi"/>
                <w:lang w:val="pt-PT"/>
              </w:rPr>
              <w:t xml:space="preserve"> </w:t>
            </w:r>
            <w:r w:rsidR="00FB730F" w:rsidRPr="00CD33AA">
              <w:rPr>
                <w:rFonts w:asciiTheme="majorHAnsi" w:hAnsiTheme="majorHAnsi" w:cstheme="majorHAnsi"/>
                <w:b w:val="0"/>
                <w:bCs w:val="0"/>
                <w:u w:val="single"/>
                <w:lang w:val="pt-PT"/>
              </w:rPr>
              <w:t>(</w:t>
            </w:r>
            <w:r w:rsidR="006E2C82">
              <w:rPr>
                <w:rFonts w:asciiTheme="majorHAnsi" w:hAnsiTheme="majorHAnsi" w:cstheme="majorHAnsi"/>
                <w:b w:val="0"/>
                <w:bCs w:val="0"/>
                <w:u w:val="single"/>
                <w:lang w:val="pt-PT"/>
              </w:rPr>
              <w:t>em l</w:t>
            </w:r>
            <w:r w:rsidR="00FB730F" w:rsidRPr="00CD33AA">
              <w:rPr>
                <w:rFonts w:asciiTheme="majorHAnsi" w:hAnsiTheme="majorHAnsi" w:cstheme="majorHAnsi"/>
                <w:b w:val="0"/>
                <w:bCs w:val="0"/>
                <w:u w:val="single"/>
                <w:lang w:val="pt-PT"/>
              </w:rPr>
              <w:t>íngua portuguesa)</w:t>
            </w:r>
          </w:p>
        </w:tc>
        <w:tc>
          <w:tcPr>
            <w:tcW w:w="4864" w:type="dxa"/>
            <w:tcBorders>
              <w:left w:val="single" w:sz="4" w:space="0" w:color="D0CECE" w:themeColor="background2" w:themeShade="E6"/>
            </w:tcBorders>
            <w:vAlign w:val="center"/>
          </w:tcPr>
          <w:p w14:paraId="09B39622" w14:textId="77777777" w:rsidR="00452FD2" w:rsidRPr="00FC696A" w:rsidRDefault="00452FD2" w:rsidP="00A554B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pt-PT"/>
              </w:rPr>
            </w:pPr>
          </w:p>
        </w:tc>
      </w:tr>
      <w:tr w:rsidR="005A67E0" w:rsidRPr="005A67E0" w14:paraId="40371584" w14:textId="77777777" w:rsidTr="00DB3349">
        <w:trPr>
          <w:trHeight w:val="9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tcBorders>
              <w:right w:val="single" w:sz="4" w:space="0" w:color="D0CECE" w:themeColor="background2" w:themeShade="E6"/>
            </w:tcBorders>
            <w:vAlign w:val="center"/>
          </w:tcPr>
          <w:p w14:paraId="63CDD83F" w14:textId="42E0D7EE" w:rsidR="005A67E0" w:rsidRPr="00FC696A" w:rsidRDefault="005A67E0" w:rsidP="00A554BC">
            <w:pPr>
              <w:jc w:val="both"/>
              <w:rPr>
                <w:rFonts w:asciiTheme="majorHAnsi" w:hAnsiTheme="majorHAnsi" w:cstheme="majorHAnsi"/>
                <w:lang w:val="pt-PT"/>
              </w:rPr>
            </w:pPr>
            <w:r>
              <w:rPr>
                <w:rFonts w:asciiTheme="majorHAnsi" w:hAnsiTheme="majorHAnsi" w:cstheme="majorHAnsi"/>
                <w:lang w:val="pt-PT"/>
              </w:rPr>
              <w:t>Á</w:t>
            </w:r>
            <w:r>
              <w:rPr>
                <w:rFonts w:asciiTheme="majorHAnsi" w:hAnsiTheme="majorHAnsi" w:cstheme="majorHAnsi"/>
                <w:lang w:val="pt-PT"/>
              </w:rPr>
              <w:t>rea terapêutica</w:t>
            </w:r>
            <w:r>
              <w:rPr>
                <w:rFonts w:asciiTheme="majorHAnsi" w:hAnsiTheme="majorHAnsi" w:cstheme="majorHAnsi"/>
                <w:lang w:val="pt-PT"/>
              </w:rPr>
              <w:t xml:space="preserve"> da indicação para a qual é solicitado PICO</w:t>
            </w:r>
          </w:p>
        </w:tc>
        <w:tc>
          <w:tcPr>
            <w:tcW w:w="4864" w:type="dxa"/>
            <w:tcBorders>
              <w:left w:val="single" w:sz="4" w:space="0" w:color="D0CECE" w:themeColor="background2" w:themeShade="E6"/>
            </w:tcBorders>
            <w:vAlign w:val="center"/>
          </w:tcPr>
          <w:p w14:paraId="00793C8E" w14:textId="1ED33A70" w:rsidR="005A67E0" w:rsidRDefault="005A67E0" w:rsidP="005A67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pt-PT"/>
              </w:rPr>
            </w:pPr>
            <w:sdt>
              <w:sdtPr>
                <w:rPr>
                  <w:rFonts w:asciiTheme="majorHAnsi" w:hAnsiTheme="majorHAnsi" w:cstheme="majorHAnsi"/>
                  <w:b/>
                  <w:bCs/>
                  <w:bdr w:val="single" w:sz="4" w:space="0" w:color="auto"/>
                  <w:lang w:val="pt-PT"/>
                </w:rPr>
                <w:id w:val="1958218888"/>
                <w:placeholder>
                  <w:docPart w:val="568A8037072147CF95EAA182866F6847"/>
                </w:placeholder>
                <w:showingPlcHdr/>
                <w:dropDownList>
                  <w:listItem w:value="Escolha um item."/>
                  <w:listItem w:displayText="Anti-infeciosos | Antivíricos " w:value="Anti-infeciosos | Antivíricos "/>
                  <w:listItem w:displayText="Anti-infeciosos | Antibacterianos" w:value="Anti-infeciosos | Antibacterianos"/>
                  <w:listItem w:displayText="Anti-infeciosos | Antifúngicos" w:value="Anti-infeciosos | Antifúngicos"/>
                  <w:listItem w:displayText="Anti-infeciosos | Hepatite B" w:value="Anti-infeciosos | Hepatite B"/>
                  <w:listItem w:displayText="Anti-infeciosos | Hepatite C" w:value="Anti-infeciosos | Hepatite C"/>
                  <w:listItem w:displayText="Anti-infeciosos | Outros" w:value="Anti-infeciosos | Outros"/>
                  <w:listItem w:displayText="Anti-infeciosos | Tuberculostáticos" w:value="Anti-infeciosos | Tuberculostáticos"/>
                  <w:listItem w:displayText="Anti-infeciosos | VIH/SIDA" w:value="Anti-infeciosos | VIH/SIDA"/>
                  <w:listItem w:displayText="Cardiovascular | Dislipidémias" w:value="Cardiovascular | Dislipidémias"/>
                  <w:listItem w:displayText="Cardiovascular | Hipertensão" w:value="Cardiovascular | Hipertensão"/>
                  <w:listItem w:displayText="Cardiovascular | Outros" w:value="Cardiovascular | Outros"/>
                  <w:listItem w:displayText="Corretivos da volémia e das alterações eletrolíticas | Hipercaliemia" w:value="Corretivos da volémia e das alterações eletrolíticas | Hipercaliemia"/>
                  <w:listItem w:displayText="Dermatologia | Acne e Rosácea" w:value="Dermatologia | Acne e Rosácea"/>
                  <w:listItem w:displayText="Dermatologia | Dermatite" w:value="Dermatologia | Dermatite"/>
                  <w:listItem w:displayText="Dermatologia | Psoríase" w:value="Dermatologia | Psoríase"/>
                  <w:listItem w:displayText="Dermatologia | Outros" w:value="Dermatologia | Outros"/>
                  <w:listItem w:displayText="Dermatologia | Urticária" w:value="Dermatologia | Urticária"/>
                  <w:listItem w:displayText="Endocrinologia | Corticosteróides" w:value="Endocrinologia | Corticosteróides"/>
                  <w:listItem w:displayText="Endocrinologia | Diabetes Mellitus" w:value="Endocrinologia | Diabetes Mellitus"/>
                  <w:listItem w:displayText="Endocrinologia | Hormonas da tiróide e antitiróideus" w:value="Endocrinologia | Hormonas da tiróide e antitiróideus"/>
                  <w:listItem w:displayText="Endocrinologia | Hormonas Sexuais e Reprodutivas" w:value="Endocrinologia | Hormonas Sexuais e Reprodutivas"/>
                  <w:listItem w:displayText="Endocrinologia | Outros" w:value="Endocrinologia | Outros"/>
                  <w:listItem w:displayText="Endocrinologia | Obesidade" w:value="Endocrinologia | Obesidade"/>
                  <w:listItem w:displayText="Gases Medicinais  " w:value="Gases Medicinais  "/>
                  <w:listItem w:displayText="Gastrointestinal | Antiácidos e antiulcerosos" w:value="Gastrointestinal | Antiácidos e antiulcerosos"/>
                  <w:listItem w:displayText="Gastrointestinal | Colite ulcerosa /Doença de Crohn" w:value="Gastrointestinal | Colite ulcerosa /Doença de Crohn"/>
                  <w:listItem w:displayText="Gastrointestinal | Outros" w:value="Gastrointestinal | Outros"/>
                  <w:listItem w:displayText="Gastrointestinal | Síndrome do Intestino Curto" w:value="Gastrointestinal | Síndrome do Intestino Curto"/>
                  <w:listItem w:displayText="Geniturinário | Incontinência Urinária" w:value="Geniturinário | Incontinência Urinária"/>
                  <w:listItem w:displayText="Geniturinário | Outros" w:value="Geniturinário | Outros"/>
                  <w:listItem w:displayText="Geniturinário | Saúde sexual feminina" w:value="Geniturinário | Saúde sexual feminina"/>
                  <w:listItem w:displayText="Geniturinário | Saúde sexual masculina" w:value="Geniturinário | Saúde sexual masculina"/>
                  <w:listItem w:displayText="Imunoalergologia  " w:value="Imunoalergologia  "/>
                  <w:listItem w:displayText="Medicamentos utilizados em transplantação  " w:value="Medicamentos utilizados em transplantação  "/>
                  <w:listItem w:displayText="Meios de diagnóstico | Outros" w:value="Meios de diagnóstico | Outros"/>
                  <w:listItem w:displayText="Meios de diagnóstico | Radiofarmacos e Diagnóstico" w:value="Meios de diagnóstico | Radiofarmacos e Diagnóstico"/>
                  <w:listItem w:displayText="Nutrição e Metabolismo | Doenças Lisossomais de sobrecarga" w:value="Nutrição e Metabolismo | Doenças Lisossomais de sobrecarga"/>
                  <w:listItem w:displayText="Nutrição e Metabolismo | Outros" w:value="Nutrição e Metabolismo | Outros"/>
                  <w:listItem w:displayText="Nutrição e Metabolismo | Síndrome Periódica Associada à Criopirina" w:value="Nutrição e Metabolismo | Síndrome Periódica Associada à Criopirina"/>
                  <w:listItem w:displayText="Oftalmologia | injeção intra-vitrea" w:value="Oftalmologia | injeção intra-vitrea"/>
                  <w:listItem w:displayText="Oftalmologia | Aplicação tópica" w:value="Oftalmologia | Aplicação tópica"/>
                  <w:listItem w:displayText="Oncologia | Cabeça e Pescoço" w:value="Oncologia | Cabeça e Pescoço"/>
                  <w:listItem w:displayText="Oncologia | Colorrectal" w:value="Oncologia | Colorrectal"/>
                  <w:listItem w:displayText="Oncologia | Esófago" w:value="Oncologia | Esófago"/>
                  <w:listItem w:displayText="Oncologia | Fígado" w:value="Oncologia | Fígado"/>
                  <w:listItem w:displayText="Oncologia | Gástrico " w:value="Oncologia | Gástrico "/>
                  <w:listItem w:displayText="Oncologia | Leucemia Linfoblástica aguda" w:value="Oncologia | Leucemia Linfoblástica aguda"/>
                  <w:listItem w:displayText="Oncologia | Leucemia Linfocítica Crónica" w:value="Oncologia | Leucemia Linfocítica Crónica"/>
                  <w:listItem w:displayText="Oncologia | Leucemia Mielóide Aguda" w:value="Oncologia | Leucemia Mielóide Aguda"/>
                  <w:listItem w:displayText="Oncologia | Linfoma de Hodgkin" w:value="Oncologia | Linfoma de Hodgkin"/>
                  <w:listItem w:displayText="Oncologia | Linfoma não-Hodgkin" w:value="Oncologia | Linfoma não-Hodgkin"/>
                  <w:listItem w:displayText="Oncologia | Liposarcoma" w:value="Oncologia | Liposarcoma"/>
                  <w:listItem w:displayText="Oncologia | Mama" w:value="Oncologia | Mama"/>
                  <w:listItem w:displayText="Oncologia | Melanoma" w:value="Oncologia | Melanoma"/>
                  <w:listItem w:displayText="Oncologia | Mieloma Múltiplo" w:value="Oncologia | Mieloma Múltiplo"/>
                  <w:listItem w:displayText="Oncologia | Outros" w:value="Oncologia | Outros"/>
                  <w:listItem w:displayText="Oncologia | Ovário" w:value="Oncologia | Ovário"/>
                  <w:listItem w:displayText="Oncologia | Pâncreas" w:value="Oncologia | Pâncreas"/>
                  <w:listItem w:displayText="Oncologia | Próstata" w:value="Oncologia | Próstata"/>
                  <w:listItem w:displayText="Oncologia | Pulmão" w:value="Oncologia | Pulmão"/>
                  <w:listItem w:displayText="Oncologia | Rim" w:value="Oncologia | Rim"/>
                  <w:listItem w:displayText="Oncologia | Síndromes Mielodisplásicos" w:value="Oncologia | Síndromes Mielodisplásicos"/>
                  <w:listItem w:displayText="Oncologia | Tiróide" w:value="Oncologia | Tiróide"/>
                  <w:listItem w:displayText="Oncologia | Útero" w:value="Oncologia | Útero"/>
                  <w:listItem w:displayText="Otorrinolaringologia " w:value="Otorrinolaringologia "/>
                  <w:listItem w:displayText="Respiratório | Asma" w:value="Respiratório | Asma"/>
                  <w:listItem w:displayText="Respiratório | Bronquite Crónica" w:value="Respiratório | Bronquite Crónica"/>
                  <w:listItem w:displayText="Respiratório | DPOC" w:value="Respiratório | DPOC"/>
                  <w:listItem w:displayText="Respiratório | Fibrose Pulmonar Idiopática" w:value="Respiratório | Fibrose Pulmonar Idiopática"/>
                  <w:listItem w:displayText="Respiratório | Fibrose Quística" w:value="Respiratório | Fibrose Quística"/>
                  <w:listItem w:displayText="Respiratório | Hipertensão Arterial Pulmonar" w:value="Respiratório | Hipertensão Arterial Pulmonar"/>
                  <w:listItem w:displayText="Respiratório | Outros" w:value="Respiratório | Outros"/>
                  <w:listItem w:displayText="Reumatologia | AINE" w:value="Reumatologia | AINE"/>
                  <w:listItem w:displayText="Reumatologia | Artrite Psoriática" w:value="Reumatologia | Artrite Psoriática"/>
                  <w:listItem w:displayText="Reumatologia | Artrite reumatóide" w:value="Reumatologia | Artrite reumatóide"/>
                  <w:listItem w:displayText="Reumatologia | Espondilite anquilosante" w:value="Reumatologia | Espondilite anquilosante"/>
                  <w:listItem w:displayText="Reumatologia | Gota" w:value="Reumatologia | Gota"/>
                  <w:listItem w:displayText="Reumatologia | Osteoporose e Prevenção" w:value="Reumatologia | Osteoporose e Prevenção"/>
                  <w:listItem w:displayText="Reumatologia | Outros" w:value="Reumatologia | Outros"/>
                  <w:listItem w:displayText="Sangue | Anticoagulantes" w:value="Sangue | Anticoagulantes"/>
                  <w:listItem w:displayText="Sangue | Hemoderivados (Hemofilia)" w:value="Sangue | Hemoderivados (Hemofilia)"/>
                  <w:listItem w:displayText="Sangue | Outros" w:value="Sangue | Outros"/>
                  <w:listItem w:displayText="Sistema Nervoso Central | Analgesia" w:value="Sistema Nervoso Central | Analgesia"/>
                  <w:listItem w:displayText="Sistema Nervoso Central | Anastesia" w:value="Sistema Nervoso Central | Anastesia"/>
                  <w:listItem w:displayText="Sistema Nervoso Central | Antieméticos" w:value="Sistema Nervoso Central | Antieméticos"/>
                  <w:listItem w:displayText="Sistema Nervoso Central | Atrofia muscular espinhal " w:value="Sistema Nervoso Central | Atrofia muscular espinhal "/>
                  <w:listItem w:displayText="Sistema Nervoso Central | Enxaqueca" w:value="Sistema Nervoso Central | Enxaqueca"/>
                  <w:listItem w:displayText="Sistema Nervoso Central | Défice de atenção/ hiperatividade" w:value="Sistema Nervoso Central | Défice de atenção/ hiperatividade"/>
                  <w:listItem w:displayText="Sistema Nervoso Central | Depressão" w:value="Sistema Nervoso Central | Depressão"/>
                  <w:listItem w:displayText="Sistema Nervoso Central | Doenças Neuromusculares" w:value="Sistema Nervoso Central | Doenças Neuromusculares"/>
                  <w:listItem w:displayText="Sistema Nervoso Central | Doença de Alzheimer" w:value="Sistema Nervoso Central | Doença de Alzheimer"/>
                  <w:listItem w:displayText="Sistema Nervoso Central | Doença de Parkinson" w:value="Sistema Nervoso Central | Doença de Parkinson"/>
                  <w:listItem w:displayText="Sistema Nervoso Central | Dor Neuropática" w:value="Sistema Nervoso Central | Dor Neuropática"/>
                  <w:listItem w:displayText="Sistema Nervoso Central | Epilepsia" w:value="Sistema Nervoso Central | Epilepsia"/>
                  <w:listItem w:displayText="Sistema Nervoso Central | Esclerose múltipla" w:value="Sistema Nervoso Central | Esclerose múltipla"/>
                  <w:listItem w:displayText="Sistema Nervoso Central | Esclerose Lateral Amiotrófica" w:value="Sistema Nervoso Central | Esclerose Lateral Amiotrófica"/>
                  <w:listItem w:displayText="Sistema Nervoso Central | Esquizofrenia e Perturbação Bipolar" w:value="Sistema Nervoso Central | Esquizofrenia e Perturbação Bipolar"/>
                  <w:listItem w:displayText="Sistema Nervoso Central | Opióides" w:value="Sistema Nervoso Central | Opióides"/>
                  <w:listItem w:displayText="Sistema Nervoso Central | Outros" w:value="Sistema Nervoso Central | Outros"/>
                  <w:listItem w:displayText="Sistema Nervoso Central | Miastenia gravis generalizada " w:value="Sistema Nervoso Central | Miastenia gravis generalizada "/>
                  <w:listItem w:displayText="Tratamento de intoxicações e toxicodependências " w:value="Tratamento de intoxicações e toxicodependências "/>
                  <w:listItem w:displayText="Vacinas e Imunoglobulinas " w:value="Vacinas e Imunoglobulinas "/>
                  <w:listItem w:displayText="Outro" w:value="Outro"/>
                </w:dropDownList>
              </w:sdtPr>
              <w:sdtContent>
                <w:r w:rsidRPr="007465F1">
                  <w:rPr>
                    <w:rStyle w:val="TextodoMarcadordePosio"/>
                    <w:lang w:val="pt-PT"/>
                  </w:rPr>
                  <w:t>Escolha um item.</w:t>
                </w:r>
              </w:sdtContent>
            </w:sdt>
          </w:p>
          <w:p w14:paraId="6AEDCF50" w14:textId="77777777" w:rsidR="005A67E0" w:rsidRPr="00FC696A" w:rsidRDefault="005A67E0" w:rsidP="00A554B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pt-PT"/>
              </w:rPr>
            </w:pPr>
          </w:p>
        </w:tc>
      </w:tr>
    </w:tbl>
    <w:p w14:paraId="3105CCE4" w14:textId="77777777" w:rsidR="002F38CE" w:rsidRPr="00FC696A" w:rsidRDefault="002F38CE" w:rsidP="002F38CE">
      <w:pPr>
        <w:spacing w:line="240" w:lineRule="auto"/>
        <w:rPr>
          <w:rFonts w:asciiTheme="majorHAnsi" w:hAnsiTheme="majorHAnsi" w:cstheme="majorHAnsi"/>
          <w:sz w:val="12"/>
          <w:szCs w:val="12"/>
          <w:lang w:val="pt-PT"/>
        </w:rPr>
      </w:pPr>
    </w:p>
    <w:p w14:paraId="469204DE" w14:textId="575FBF0A" w:rsidR="00382F26" w:rsidRPr="00FC696A" w:rsidRDefault="00842A9D" w:rsidP="00A74894">
      <w:pPr>
        <w:jc w:val="both"/>
        <w:rPr>
          <w:rFonts w:asciiTheme="majorHAnsi" w:hAnsiTheme="majorHAnsi" w:cstheme="majorHAnsi"/>
          <w:lang w:val="pt-PT"/>
        </w:rPr>
      </w:pPr>
      <w:r w:rsidRPr="00FC696A">
        <w:rPr>
          <w:rFonts w:asciiTheme="majorHAnsi" w:hAnsiTheme="majorHAnsi" w:cstheme="majorHAnsi"/>
          <w:lang w:val="pt-PT"/>
        </w:rPr>
        <w:t>Após preenchido, o formul</w:t>
      </w:r>
      <w:r w:rsidR="002F38CE" w:rsidRPr="00FC696A">
        <w:rPr>
          <w:rFonts w:asciiTheme="majorHAnsi" w:hAnsiTheme="majorHAnsi" w:cstheme="majorHAnsi"/>
          <w:lang w:val="pt-PT"/>
        </w:rPr>
        <w:t>ário deve ser datado,</w:t>
      </w:r>
      <w:r w:rsidRPr="00FC696A">
        <w:rPr>
          <w:rFonts w:asciiTheme="majorHAnsi" w:hAnsiTheme="majorHAnsi" w:cstheme="majorHAnsi"/>
          <w:lang w:val="pt-PT"/>
        </w:rPr>
        <w:t xml:space="preserve"> assinado e enviado para o email </w:t>
      </w:r>
      <w:hyperlink r:id="rId7" w:history="1">
        <w:r w:rsidRPr="00FC696A">
          <w:rPr>
            <w:rStyle w:val="Hiperligao"/>
            <w:rFonts w:asciiTheme="majorHAnsi" w:hAnsiTheme="majorHAnsi" w:cstheme="majorHAnsi"/>
            <w:lang w:val="pt-PT"/>
          </w:rPr>
          <w:t>dats@infarmed.pt</w:t>
        </w:r>
      </w:hyperlink>
      <w:r w:rsidRPr="00FC696A">
        <w:rPr>
          <w:rFonts w:asciiTheme="majorHAnsi" w:hAnsiTheme="majorHAnsi" w:cstheme="majorHAnsi"/>
          <w:lang w:val="pt-PT"/>
        </w:rPr>
        <w:t xml:space="preserve">, com assunto “Pedido de financiamento após </w:t>
      </w:r>
      <w:r w:rsidR="00646720">
        <w:rPr>
          <w:rFonts w:asciiTheme="majorHAnsi" w:hAnsiTheme="majorHAnsi" w:cstheme="majorHAnsi"/>
          <w:lang w:val="pt-PT"/>
        </w:rPr>
        <w:t xml:space="preserve">parecer </w:t>
      </w:r>
      <w:r w:rsidRPr="00FC696A">
        <w:rPr>
          <w:rFonts w:asciiTheme="majorHAnsi" w:hAnsiTheme="majorHAnsi" w:cstheme="majorHAnsi"/>
          <w:lang w:val="pt-PT"/>
        </w:rPr>
        <w:t>do CHMP - &lt;Nome do Medicamento&gt;”</w:t>
      </w:r>
      <w:r w:rsidR="002F38CE" w:rsidRPr="00FC696A">
        <w:rPr>
          <w:rFonts w:asciiTheme="majorHAnsi" w:hAnsiTheme="majorHAnsi" w:cstheme="majorHAnsi"/>
          <w:lang w:val="pt-PT"/>
        </w:rPr>
        <w:t>.</w:t>
      </w:r>
      <w:r w:rsidR="00593C6E">
        <w:rPr>
          <w:rFonts w:asciiTheme="majorHAnsi" w:hAnsiTheme="majorHAnsi" w:cstheme="majorHAnsi"/>
          <w:lang w:val="pt-PT"/>
        </w:rPr>
        <w:t xml:space="preserve"> O pedido deve ser instruído com documento explicativo do mecanismo de ação do medicamento para o qual é solicitado o </w:t>
      </w:r>
      <w:r w:rsidR="00593C6E" w:rsidRPr="00593C6E">
        <w:rPr>
          <w:rFonts w:asciiTheme="majorHAnsi" w:hAnsiTheme="majorHAnsi" w:cstheme="majorHAnsi"/>
          <w:lang w:val="pt-PT"/>
        </w:rPr>
        <w:t>pedido de definição de proposta inicial de avaliação (PICO)</w:t>
      </w:r>
      <w:r w:rsidR="00593C6E">
        <w:rPr>
          <w:rFonts w:asciiTheme="majorHAnsi" w:hAnsiTheme="majorHAnsi" w:cstheme="majorHAnsi"/>
          <w:lang w:val="pt-PT"/>
        </w:rPr>
        <w:t>.</w:t>
      </w:r>
    </w:p>
    <w:p w14:paraId="6AD1A1C5" w14:textId="77777777" w:rsidR="002F38CE" w:rsidRPr="00FC696A" w:rsidRDefault="002F38CE">
      <w:pPr>
        <w:rPr>
          <w:rFonts w:asciiTheme="majorHAnsi" w:hAnsiTheme="majorHAnsi" w:cstheme="majorHAnsi"/>
          <w:sz w:val="12"/>
          <w:szCs w:val="12"/>
          <w:lang w:val="pt-PT"/>
        </w:rPr>
      </w:pPr>
    </w:p>
    <w:p w14:paraId="0737FCB4" w14:textId="77777777" w:rsidR="002F38CE" w:rsidRPr="00FC696A" w:rsidRDefault="002F38CE">
      <w:pPr>
        <w:rPr>
          <w:rFonts w:asciiTheme="majorHAnsi" w:hAnsiTheme="majorHAnsi" w:cstheme="majorHAnsi"/>
          <w:lang w:val="pt-PT"/>
        </w:rPr>
      </w:pPr>
      <w:r w:rsidRPr="00FC696A">
        <w:rPr>
          <w:rFonts w:asciiTheme="majorHAnsi" w:hAnsiTheme="majorHAnsi" w:cstheme="majorHAnsi"/>
          <w:lang w:val="pt-PT"/>
        </w:rPr>
        <w:t xml:space="preserve">Data: </w:t>
      </w:r>
    </w:p>
    <w:p w14:paraId="09E63BDE" w14:textId="77777777" w:rsidR="002F38CE" w:rsidRPr="00FC696A" w:rsidRDefault="002F38CE">
      <w:pPr>
        <w:rPr>
          <w:rFonts w:asciiTheme="majorHAnsi" w:hAnsiTheme="majorHAnsi" w:cstheme="majorHAnsi"/>
          <w:lang w:val="pt-PT"/>
        </w:rPr>
      </w:pPr>
      <w:r w:rsidRPr="00FC696A">
        <w:rPr>
          <w:rFonts w:asciiTheme="majorHAnsi" w:hAnsiTheme="majorHAnsi" w:cstheme="majorHAnsi"/>
          <w:lang w:val="pt-PT"/>
        </w:rPr>
        <w:t>Assinatura do Representante do Requerente da AIM:</w:t>
      </w:r>
    </w:p>
    <w:sectPr w:rsidR="002F38CE" w:rsidRPr="00FC696A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DFB5BA" w14:textId="77777777" w:rsidR="000E237A" w:rsidRDefault="000E237A" w:rsidP="00382F26">
      <w:pPr>
        <w:spacing w:after="0" w:line="240" w:lineRule="auto"/>
      </w:pPr>
      <w:r>
        <w:separator/>
      </w:r>
    </w:p>
  </w:endnote>
  <w:endnote w:type="continuationSeparator" w:id="0">
    <w:p w14:paraId="4AB10EAD" w14:textId="77777777" w:rsidR="000E237A" w:rsidRDefault="000E237A" w:rsidP="00382F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42612091"/>
      <w:docPartObj>
        <w:docPartGallery w:val="Page Numbers (Bottom of Page)"/>
        <w:docPartUnique/>
      </w:docPartObj>
    </w:sdtPr>
    <w:sdtEndPr/>
    <w:sdtContent>
      <w:p w14:paraId="44ED41B8" w14:textId="05D7C2AA" w:rsidR="00842A9D" w:rsidRDefault="00842A9D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2757" w:rsidRPr="00512757">
          <w:rPr>
            <w:noProof/>
            <w:lang w:val="pt-PT"/>
          </w:rPr>
          <w:t>1</w:t>
        </w:r>
        <w:r>
          <w:fldChar w:fldCharType="end"/>
        </w:r>
      </w:p>
    </w:sdtContent>
  </w:sdt>
  <w:p w14:paraId="5CFEFE24" w14:textId="43817881" w:rsidR="00842A9D" w:rsidRPr="002F38CE" w:rsidRDefault="002F38CE">
    <w:pPr>
      <w:pStyle w:val="Rodap"/>
      <w:rPr>
        <w:sz w:val="16"/>
        <w:szCs w:val="16"/>
      </w:rPr>
    </w:pPr>
    <w:r w:rsidRPr="002F38CE">
      <w:rPr>
        <w:rFonts w:ascii="Arial" w:hAnsi="Arial" w:cs="Arial"/>
        <w:sz w:val="16"/>
        <w:szCs w:val="16"/>
      </w:rPr>
      <w:t>M-DATS-</w:t>
    </w:r>
    <w:r w:rsidR="00D51B5A">
      <w:rPr>
        <w:rFonts w:ascii="Arial" w:hAnsi="Arial" w:cs="Arial"/>
        <w:sz w:val="16"/>
        <w:szCs w:val="16"/>
      </w:rPr>
      <w:t>03</w:t>
    </w:r>
    <w:r w:rsidRPr="002F38CE">
      <w:rPr>
        <w:rFonts w:ascii="Arial" w:hAnsi="Arial" w:cs="Arial"/>
        <w:sz w:val="16"/>
        <w:szCs w:val="16"/>
      </w:rPr>
      <w:t>2</w:t>
    </w:r>
    <w:r w:rsidR="00325763">
      <w:rPr>
        <w:rFonts w:ascii="Arial" w:hAnsi="Arial" w:cs="Arial"/>
        <w:sz w:val="16"/>
        <w:szCs w:val="16"/>
      </w:rPr>
      <w:t>/</w:t>
    </w:r>
    <w:r w:rsidR="00FB730F">
      <w:rPr>
        <w:rFonts w:ascii="Arial" w:hAnsi="Arial" w:cs="Arial"/>
        <w:sz w:val="16"/>
        <w:szCs w:val="16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422FC" w14:textId="77777777" w:rsidR="000E237A" w:rsidRDefault="000E237A" w:rsidP="00382F26">
      <w:pPr>
        <w:spacing w:after="0" w:line="240" w:lineRule="auto"/>
      </w:pPr>
      <w:r>
        <w:separator/>
      </w:r>
    </w:p>
  </w:footnote>
  <w:footnote w:type="continuationSeparator" w:id="0">
    <w:p w14:paraId="41C9D8C0" w14:textId="77777777" w:rsidR="000E237A" w:rsidRDefault="000E237A" w:rsidP="00382F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E5A39" w14:textId="52E5B91D" w:rsidR="00382F26" w:rsidRDefault="001D6382">
    <w:pPr>
      <w:pStyle w:val="Cabealho"/>
    </w:pPr>
    <w:r>
      <w:rPr>
        <w:noProof/>
      </w:rPr>
      <w:drawing>
        <wp:inline distT="0" distB="0" distL="0" distR="0" wp14:anchorId="51FB6068" wp14:editId="33AE4B93">
          <wp:extent cx="3009265" cy="446405"/>
          <wp:effectExtent l="0" t="0" r="635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9265" cy="446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7B8278E" w14:textId="77777777" w:rsidR="00382F26" w:rsidRDefault="00382F2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FD2"/>
    <w:rsid w:val="000147CC"/>
    <w:rsid w:val="0006359D"/>
    <w:rsid w:val="000E237A"/>
    <w:rsid w:val="001D6382"/>
    <w:rsid w:val="00281DC0"/>
    <w:rsid w:val="002F38CE"/>
    <w:rsid w:val="0032361B"/>
    <w:rsid w:val="00325763"/>
    <w:rsid w:val="00382F26"/>
    <w:rsid w:val="003E1896"/>
    <w:rsid w:val="00401EE7"/>
    <w:rsid w:val="00452FD2"/>
    <w:rsid w:val="00512757"/>
    <w:rsid w:val="00543606"/>
    <w:rsid w:val="0056308E"/>
    <w:rsid w:val="00593C6E"/>
    <w:rsid w:val="005A67E0"/>
    <w:rsid w:val="00642EAB"/>
    <w:rsid w:val="00646720"/>
    <w:rsid w:val="006A6841"/>
    <w:rsid w:val="006E2C82"/>
    <w:rsid w:val="007038F3"/>
    <w:rsid w:val="007465F1"/>
    <w:rsid w:val="007E527F"/>
    <w:rsid w:val="00842A9D"/>
    <w:rsid w:val="00896599"/>
    <w:rsid w:val="009172EB"/>
    <w:rsid w:val="009A44D1"/>
    <w:rsid w:val="00A554BC"/>
    <w:rsid w:val="00A74894"/>
    <w:rsid w:val="00AB45C5"/>
    <w:rsid w:val="00AC78BA"/>
    <w:rsid w:val="00B20235"/>
    <w:rsid w:val="00BF68BB"/>
    <w:rsid w:val="00CA1D35"/>
    <w:rsid w:val="00CB75CA"/>
    <w:rsid w:val="00CD33AA"/>
    <w:rsid w:val="00D41F64"/>
    <w:rsid w:val="00D51B5A"/>
    <w:rsid w:val="00DB3349"/>
    <w:rsid w:val="00DE6A96"/>
    <w:rsid w:val="00E103D6"/>
    <w:rsid w:val="00E73D3D"/>
    <w:rsid w:val="00E75045"/>
    <w:rsid w:val="00E83DD8"/>
    <w:rsid w:val="00EA2E3A"/>
    <w:rsid w:val="00EC7EE6"/>
    <w:rsid w:val="00EF6E5A"/>
    <w:rsid w:val="00FA510C"/>
    <w:rsid w:val="00FB730F"/>
    <w:rsid w:val="00FC696A"/>
    <w:rsid w:val="00FF1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1A035D9"/>
  <w15:chartTrackingRefBased/>
  <w15:docId w15:val="{F7B6EE45-13AF-486A-923E-F12959445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452F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MarcadordePosio">
    <w:name w:val="Placeholder Text"/>
    <w:basedOn w:val="Tipodeletrapredefinidodopargrafo"/>
    <w:uiPriority w:val="99"/>
    <w:semiHidden/>
    <w:rsid w:val="00CA1D35"/>
    <w:rPr>
      <w:color w:val="808080"/>
    </w:rPr>
  </w:style>
  <w:style w:type="paragraph" w:styleId="Cabealho">
    <w:name w:val="header"/>
    <w:basedOn w:val="Normal"/>
    <w:link w:val="CabealhoCarter"/>
    <w:unhideWhenUsed/>
    <w:rsid w:val="00382F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82F26"/>
  </w:style>
  <w:style w:type="paragraph" w:styleId="Rodap">
    <w:name w:val="footer"/>
    <w:basedOn w:val="Normal"/>
    <w:link w:val="RodapCarter"/>
    <w:uiPriority w:val="99"/>
    <w:unhideWhenUsed/>
    <w:rsid w:val="00382F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382F26"/>
  </w:style>
  <w:style w:type="character" w:styleId="Hiperligao">
    <w:name w:val="Hyperlink"/>
    <w:basedOn w:val="Tipodeletrapredefinidodopargrafo"/>
    <w:uiPriority w:val="99"/>
    <w:unhideWhenUsed/>
    <w:rsid w:val="00842A9D"/>
    <w:rPr>
      <w:color w:val="0563C1" w:themeColor="hyperlink"/>
      <w:u w:val="single"/>
    </w:rPr>
  </w:style>
  <w:style w:type="table" w:styleId="TabelaSimples4">
    <w:name w:val="Plain Table 4"/>
    <w:basedOn w:val="Tabelanormal"/>
    <w:uiPriority w:val="44"/>
    <w:rsid w:val="00FC696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SimplesTabela2">
    <w:name w:val="Plain Table 2"/>
    <w:basedOn w:val="Tabelanormal"/>
    <w:uiPriority w:val="42"/>
    <w:rsid w:val="00FC696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Textodebalo">
    <w:name w:val="Balloon Text"/>
    <w:basedOn w:val="Normal"/>
    <w:link w:val="TextodebaloCarter"/>
    <w:uiPriority w:val="99"/>
    <w:semiHidden/>
    <w:unhideWhenUsed/>
    <w:rsid w:val="00CB75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CB75CA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EC7EE6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EC7EE6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EC7EE6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EC7EE6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EC7EE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ats@infarmed.p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68A8037072147CF95EAA182866F684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8FDDF9C-3201-4C76-8C36-F53C6D886879}"/>
      </w:docPartPr>
      <w:docPartBody>
        <w:p w:rsidR="00000000" w:rsidRDefault="00BA5062" w:rsidP="00BA5062">
          <w:pPr>
            <w:pStyle w:val="568A8037072147CF95EAA182866F6847"/>
          </w:pPr>
          <w:r w:rsidRPr="002B1987">
            <w:rPr>
              <w:rStyle w:val="TextodoMarcadordePosio"/>
            </w:rPr>
            <w:t>Escolha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1C5"/>
    <w:rsid w:val="000D4852"/>
    <w:rsid w:val="000F61C5"/>
    <w:rsid w:val="006304A8"/>
    <w:rsid w:val="008C064E"/>
    <w:rsid w:val="00A401A9"/>
    <w:rsid w:val="00BA5062"/>
    <w:rsid w:val="00E32E14"/>
    <w:rsid w:val="00F63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BA5062"/>
    <w:rPr>
      <w:color w:val="808080"/>
    </w:rPr>
  </w:style>
  <w:style w:type="paragraph" w:customStyle="1" w:styleId="568A8037072147CF95EAA182866F6847">
    <w:name w:val="568A8037072147CF95EAA182866F6847"/>
    <w:rsid w:val="00BA506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9FFB19-9A87-4676-B4A7-904096DA8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1</Pages>
  <Words>206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Mariane Cossito</dc:creator>
  <cp:keywords/>
  <dc:description/>
  <cp:lastModifiedBy>Inês Silva</cp:lastModifiedBy>
  <cp:revision>15</cp:revision>
  <cp:lastPrinted>2025-02-05T15:11:00Z</cp:lastPrinted>
  <dcterms:created xsi:type="dcterms:W3CDTF">2025-02-05T12:13:00Z</dcterms:created>
  <dcterms:modified xsi:type="dcterms:W3CDTF">2025-02-07T09:23:00Z</dcterms:modified>
</cp:coreProperties>
</file>